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53" w:rsidRPr="00EF081E" w:rsidRDefault="00217B47" w:rsidP="007D325A">
      <w:pPr>
        <w:jc w:val="center"/>
        <w:rPr>
          <w:rFonts w:cstheme="minorHAnsi"/>
          <w:color w:val="C00000"/>
          <w:sz w:val="36"/>
          <w:szCs w:val="36"/>
        </w:rPr>
      </w:pPr>
      <w:bookmarkStart w:id="0" w:name="_GoBack"/>
      <w:bookmarkEnd w:id="0"/>
      <w:r w:rsidRPr="00EF081E">
        <w:rPr>
          <w:rFonts w:cstheme="minorHAnsi"/>
          <w:color w:val="C00000"/>
          <w:sz w:val="36"/>
          <w:szCs w:val="36"/>
        </w:rPr>
        <w:t>[Facility Logo]</w:t>
      </w:r>
    </w:p>
    <w:p w:rsidR="002F6D8D" w:rsidRPr="00A46B95" w:rsidRDefault="002F6D8D" w:rsidP="00EF081E">
      <w:pPr>
        <w:spacing w:after="120" w:line="276" w:lineRule="auto"/>
        <w:rPr>
          <w:rFonts w:cstheme="minorHAnsi"/>
        </w:rPr>
      </w:pPr>
      <w:r w:rsidRPr="00A46B95">
        <w:rPr>
          <w:rFonts w:cstheme="minorHAnsi"/>
          <w:b/>
        </w:rPr>
        <w:t>S</w:t>
      </w:r>
      <w:r w:rsidR="00A46B95" w:rsidRPr="00A46B95">
        <w:rPr>
          <w:rFonts w:cstheme="minorHAnsi"/>
          <w:b/>
        </w:rPr>
        <w:t>UBJECT</w:t>
      </w:r>
      <w:r w:rsidRPr="00A46B95">
        <w:rPr>
          <w:rFonts w:cstheme="minorHAnsi"/>
          <w:b/>
        </w:rPr>
        <w:t>:</w:t>
      </w:r>
      <w:r w:rsidR="007D325A" w:rsidRPr="00A46B95">
        <w:rPr>
          <w:rFonts w:cstheme="minorHAnsi"/>
          <w:b/>
        </w:rPr>
        <w:tab/>
      </w:r>
      <w:r w:rsidR="007D325A" w:rsidRPr="00A46B95">
        <w:rPr>
          <w:rFonts w:cstheme="minorHAnsi"/>
          <w:b/>
        </w:rPr>
        <w:tab/>
      </w:r>
      <w:r w:rsidR="007D325A" w:rsidRPr="00A46B95">
        <w:rPr>
          <w:rFonts w:cstheme="minorHAnsi"/>
          <w:b/>
        </w:rPr>
        <w:tab/>
      </w:r>
      <w:r w:rsidRPr="00A46B95">
        <w:rPr>
          <w:rFonts w:cstheme="minorHAnsi"/>
        </w:rPr>
        <w:t>Automatic Antimicrobial IV to PO Conversion</w:t>
      </w:r>
    </w:p>
    <w:p w:rsidR="007D325A" w:rsidRPr="00A46B95" w:rsidRDefault="007D325A" w:rsidP="00EF081E">
      <w:pPr>
        <w:spacing w:after="120" w:line="276" w:lineRule="auto"/>
        <w:rPr>
          <w:rFonts w:cstheme="minorHAnsi"/>
          <w:color w:val="C00000"/>
        </w:rPr>
      </w:pPr>
      <w:r w:rsidRPr="00A46B95">
        <w:rPr>
          <w:rFonts w:cstheme="minorHAnsi"/>
          <w:b/>
        </w:rPr>
        <w:t>P</w:t>
      </w:r>
      <w:r w:rsidR="00A46B95" w:rsidRPr="00A46B95">
        <w:rPr>
          <w:rFonts w:cstheme="minorHAnsi"/>
          <w:b/>
        </w:rPr>
        <w:t>OLICY</w:t>
      </w:r>
      <w:r w:rsidRPr="00A46B95">
        <w:rPr>
          <w:rFonts w:cstheme="minorHAnsi"/>
          <w:b/>
        </w:rPr>
        <w:t xml:space="preserve"> N</w:t>
      </w:r>
      <w:r w:rsidR="00A46B95" w:rsidRPr="00A46B95">
        <w:rPr>
          <w:rFonts w:cstheme="minorHAnsi"/>
          <w:b/>
        </w:rPr>
        <w:t>O</w:t>
      </w:r>
      <w:r w:rsidRPr="00A46B95">
        <w:rPr>
          <w:rFonts w:cstheme="minorHAnsi"/>
          <w:b/>
        </w:rPr>
        <w:t>.: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[Policy number]</w:t>
      </w:r>
    </w:p>
    <w:p w:rsidR="007D325A" w:rsidRPr="00A46B95" w:rsidRDefault="007D325A" w:rsidP="00EF081E">
      <w:pPr>
        <w:spacing w:after="120" w:line="276" w:lineRule="auto"/>
        <w:rPr>
          <w:rFonts w:cstheme="minorHAnsi"/>
          <w:color w:val="C00000"/>
        </w:rPr>
      </w:pPr>
      <w:r w:rsidRPr="00A46B95">
        <w:rPr>
          <w:rFonts w:cstheme="minorHAnsi"/>
          <w:b/>
        </w:rPr>
        <w:t>D</w:t>
      </w:r>
      <w:r w:rsidR="00A46B95" w:rsidRPr="00A46B95">
        <w:rPr>
          <w:rFonts w:cstheme="minorHAnsi"/>
          <w:b/>
        </w:rPr>
        <w:t>ATE</w:t>
      </w:r>
      <w:r w:rsidRPr="00A46B95">
        <w:rPr>
          <w:rFonts w:cstheme="minorHAnsi"/>
          <w:b/>
        </w:rPr>
        <w:t xml:space="preserve"> </w:t>
      </w:r>
      <w:r w:rsidR="00A46B95" w:rsidRPr="00A46B95">
        <w:rPr>
          <w:rFonts w:cstheme="minorHAnsi"/>
          <w:b/>
        </w:rPr>
        <w:t>ISSUED</w:t>
      </w:r>
      <w:r w:rsidRPr="00A46B95">
        <w:rPr>
          <w:rFonts w:cstheme="minorHAnsi"/>
          <w:b/>
        </w:rPr>
        <w:t>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[Date policy created]</w:t>
      </w:r>
    </w:p>
    <w:p w:rsidR="002F6D8D" w:rsidRPr="00A46B95" w:rsidRDefault="00A46B95" w:rsidP="00EF081E">
      <w:pPr>
        <w:widowControl w:val="0"/>
        <w:spacing w:after="120" w:line="276" w:lineRule="auto"/>
        <w:ind w:left="2160" w:hanging="2160"/>
        <w:jc w:val="both"/>
        <w:rPr>
          <w:rFonts w:cstheme="minorHAnsi"/>
          <w:color w:val="C00000"/>
        </w:rPr>
      </w:pPr>
      <w:r w:rsidRPr="00A46B95">
        <w:rPr>
          <w:rFonts w:cstheme="minorHAnsi"/>
          <w:b/>
        </w:rPr>
        <w:t xml:space="preserve">LAST </w:t>
      </w:r>
      <w:r w:rsidR="007D325A" w:rsidRPr="00A46B95">
        <w:rPr>
          <w:rFonts w:cstheme="minorHAnsi"/>
          <w:b/>
        </w:rPr>
        <w:t>R</w:t>
      </w:r>
      <w:r w:rsidRPr="00A46B95">
        <w:rPr>
          <w:rFonts w:cstheme="minorHAnsi"/>
          <w:b/>
        </w:rPr>
        <w:t>EVIEWED</w:t>
      </w:r>
      <w:r w:rsidR="007D325A" w:rsidRPr="00A46B95">
        <w:rPr>
          <w:rFonts w:cstheme="minorHAnsi"/>
          <w:b/>
        </w:rPr>
        <w:t>:</w:t>
      </w:r>
      <w:r w:rsidR="007D325A"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="007D325A" w:rsidRPr="00A46B95">
        <w:rPr>
          <w:rFonts w:cstheme="minorHAnsi"/>
          <w:color w:val="C00000"/>
        </w:rPr>
        <w:t>[Date policy revised]</w:t>
      </w:r>
    </w:p>
    <w:p w:rsidR="00A46B95" w:rsidRPr="00A46B95" w:rsidRDefault="00A46B95" w:rsidP="00EF081E">
      <w:pPr>
        <w:widowControl w:val="0"/>
        <w:spacing w:after="120" w:line="276" w:lineRule="auto"/>
        <w:ind w:left="2160" w:hanging="2160"/>
        <w:jc w:val="both"/>
        <w:rPr>
          <w:rFonts w:cstheme="minorHAnsi"/>
          <w:color w:val="C00000"/>
        </w:rPr>
      </w:pPr>
      <w:r w:rsidRPr="00A46B95">
        <w:rPr>
          <w:rFonts w:cstheme="minorHAnsi"/>
          <w:b/>
        </w:rPr>
        <w:t xml:space="preserve">PREVIOUS </w:t>
      </w:r>
      <w:r>
        <w:rPr>
          <w:rFonts w:cstheme="minorHAnsi"/>
          <w:b/>
        </w:rPr>
        <w:t>VERSIONS</w:t>
      </w:r>
      <w:r w:rsidRPr="00A46B95">
        <w:rPr>
          <w:rFonts w:cstheme="minorHAnsi"/>
          <w:b/>
        </w:rPr>
        <w:t>:</w:t>
      </w:r>
      <w:r w:rsidRPr="00A46B95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[Date previously reviewed or revised]</w:t>
      </w:r>
    </w:p>
    <w:p w:rsidR="00A46B95" w:rsidRDefault="00A46B95" w:rsidP="00EF081E">
      <w:pPr>
        <w:widowControl w:val="0"/>
        <w:pBdr>
          <w:bottom w:val="single" w:sz="4" w:space="1" w:color="auto"/>
        </w:pBdr>
        <w:spacing w:after="120" w:line="276" w:lineRule="auto"/>
        <w:ind w:left="2160" w:hanging="2160"/>
        <w:jc w:val="both"/>
        <w:rPr>
          <w:rFonts w:cstheme="minorHAnsi"/>
          <w:color w:val="C00000"/>
        </w:rPr>
      </w:pPr>
      <w:r w:rsidRPr="00A46B95">
        <w:rPr>
          <w:rFonts w:cstheme="minorHAnsi"/>
          <w:b/>
        </w:rPr>
        <w:t>APPROVED BY:</w:t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b/>
        </w:rPr>
        <w:tab/>
      </w:r>
      <w:r w:rsidRPr="00A46B95">
        <w:rPr>
          <w:rFonts w:cstheme="minorHAnsi"/>
          <w:color w:val="C00000"/>
        </w:rPr>
        <w:t>[Approving individual or committee]</w:t>
      </w:r>
    </w:p>
    <w:p w:rsidR="00EF081E" w:rsidRPr="00A46B95" w:rsidRDefault="00EF081E" w:rsidP="00EF081E">
      <w:pPr>
        <w:widowControl w:val="0"/>
        <w:pBdr>
          <w:bottom w:val="single" w:sz="4" w:space="1" w:color="auto"/>
        </w:pBdr>
        <w:spacing w:after="120" w:line="276" w:lineRule="auto"/>
        <w:ind w:left="2160" w:hanging="2160"/>
        <w:jc w:val="both"/>
        <w:rPr>
          <w:rFonts w:cstheme="minorHAnsi"/>
          <w:color w:val="C00000"/>
        </w:rPr>
      </w:pPr>
    </w:p>
    <w:p w:rsidR="00A46B95" w:rsidRDefault="00A46B95" w:rsidP="00A25C74">
      <w:pPr>
        <w:widowControl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46B95">
        <w:rPr>
          <w:rFonts w:cstheme="minorHAnsi"/>
          <w:b/>
          <w:color w:val="000000" w:themeColor="text1"/>
        </w:rPr>
        <w:t>Background</w:t>
      </w:r>
      <w:r w:rsidR="00E01FED">
        <w:rPr>
          <w:rFonts w:cstheme="minorHAnsi"/>
          <w:b/>
          <w:color w:val="000000" w:themeColor="text1"/>
        </w:rPr>
        <w:br/>
      </w:r>
      <w:r w:rsidR="0000145E">
        <w:rPr>
          <w:rFonts w:cstheme="minorHAnsi"/>
          <w:color w:val="000000" w:themeColor="text1"/>
        </w:rPr>
        <w:t xml:space="preserve">A number of antimicrobial agents produce comparable </w:t>
      </w:r>
      <w:r w:rsidR="00BF2964">
        <w:rPr>
          <w:rFonts w:cstheme="minorHAnsi"/>
          <w:color w:val="000000" w:themeColor="text1"/>
        </w:rPr>
        <w:t>systemic</w:t>
      </w:r>
      <w:r w:rsidR="0000145E">
        <w:rPr>
          <w:rFonts w:cstheme="minorHAnsi"/>
          <w:color w:val="000000" w:themeColor="text1"/>
        </w:rPr>
        <w:t xml:space="preserve"> concentrations </w:t>
      </w:r>
      <w:r w:rsidR="00C308D9">
        <w:rPr>
          <w:rFonts w:cstheme="minorHAnsi"/>
          <w:color w:val="000000" w:themeColor="text1"/>
        </w:rPr>
        <w:t xml:space="preserve">regardless of intravenous (IV) or oral (PO) route of administration.  </w:t>
      </w:r>
      <w:r w:rsidR="00BF2964">
        <w:rPr>
          <w:rFonts w:cstheme="minorHAnsi"/>
          <w:color w:val="000000" w:themeColor="text1"/>
        </w:rPr>
        <w:t>Early conversion from IV to PO therapy can potentially reduce bloodstream infection</w:t>
      </w:r>
      <w:r w:rsidR="00600D16">
        <w:rPr>
          <w:rFonts w:cstheme="minorHAnsi"/>
          <w:color w:val="000000" w:themeColor="text1"/>
        </w:rPr>
        <w:t>s</w:t>
      </w:r>
      <w:r w:rsidR="00BF2964">
        <w:rPr>
          <w:rFonts w:cstheme="minorHAnsi"/>
          <w:color w:val="000000" w:themeColor="text1"/>
        </w:rPr>
        <w:t>, phlebitis, length of stay</w:t>
      </w:r>
      <w:r w:rsidR="00600D16">
        <w:rPr>
          <w:rFonts w:cstheme="minorHAnsi"/>
          <w:color w:val="000000" w:themeColor="text1"/>
        </w:rPr>
        <w:t>s</w:t>
      </w:r>
      <w:r w:rsidR="00BF2964">
        <w:rPr>
          <w:rFonts w:cstheme="minorHAnsi"/>
          <w:color w:val="000000" w:themeColor="text1"/>
        </w:rPr>
        <w:t xml:space="preserve">, and cost of therapy. </w:t>
      </w:r>
    </w:p>
    <w:p w:rsidR="00BF2964" w:rsidRDefault="00BF2964" w:rsidP="00A25C74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292B80" w:rsidRDefault="00E01FED" w:rsidP="00E01FED">
      <w:pPr>
        <w:widowControl w:val="0"/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Conversion </w:t>
      </w:r>
      <w:r w:rsidR="00BF2964">
        <w:rPr>
          <w:rFonts w:cstheme="minorHAnsi"/>
          <w:b/>
          <w:color w:val="000000" w:themeColor="text1"/>
        </w:rPr>
        <w:t>Criteria</w:t>
      </w:r>
      <w:r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Patients who fulfill all of the following criteria will be </w:t>
      </w:r>
      <w:r w:rsidR="00A25C74">
        <w:rPr>
          <w:rFonts w:cstheme="minorHAnsi"/>
          <w:color w:val="000000" w:themeColor="text1"/>
        </w:rPr>
        <w:t xml:space="preserve">automatically </w:t>
      </w:r>
      <w:r>
        <w:rPr>
          <w:rFonts w:cstheme="minorHAnsi"/>
          <w:color w:val="000000" w:themeColor="text1"/>
        </w:rPr>
        <w:t>converted from IV to PO antibiotic therapy</w:t>
      </w:r>
      <w:r w:rsidR="00A25C74">
        <w:rPr>
          <w:rFonts w:cstheme="minorHAnsi"/>
          <w:color w:val="000000" w:themeColor="text1"/>
        </w:rPr>
        <w:t>:</w:t>
      </w:r>
    </w:p>
    <w:p w:rsidR="00B67CC8" w:rsidRDefault="00B67CC8" w:rsidP="00292B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Functioning GI tract </w:t>
      </w:r>
    </w:p>
    <w:p w:rsidR="00292B80" w:rsidRDefault="00B67CC8" w:rsidP="00292B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="00292B80">
        <w:rPr>
          <w:rFonts w:cstheme="minorHAnsi"/>
          <w:color w:val="000000" w:themeColor="text1"/>
        </w:rPr>
        <w:t>eceiving oral or enteral medications</w:t>
      </w:r>
    </w:p>
    <w:p w:rsidR="00292B80" w:rsidRDefault="00292B80" w:rsidP="00292B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Receiving oral or enteral diet</w:t>
      </w:r>
      <w:r w:rsidR="00600D16">
        <w:rPr>
          <w:rFonts w:cstheme="minorHAnsi"/>
          <w:color w:val="000000" w:themeColor="text1"/>
        </w:rPr>
        <w:t>, and</w:t>
      </w:r>
    </w:p>
    <w:p w:rsidR="00292B80" w:rsidRDefault="00292B80" w:rsidP="00292B8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600D16">
        <w:rPr>
          <w:rFonts w:cstheme="minorHAnsi"/>
          <w:color w:val="000000" w:themeColor="text1"/>
        </w:rPr>
        <w:t>Receiving an approved IV</w:t>
      </w:r>
      <w:r w:rsidR="009554BE" w:rsidRPr="00600D16">
        <w:rPr>
          <w:rFonts w:cstheme="minorHAnsi"/>
          <w:color w:val="000000" w:themeColor="text1"/>
        </w:rPr>
        <w:t>/</w:t>
      </w:r>
      <w:r w:rsidRPr="00600D16">
        <w:rPr>
          <w:rFonts w:cstheme="minorHAnsi"/>
          <w:color w:val="000000" w:themeColor="text1"/>
        </w:rPr>
        <w:t>PO equivalent antibiotic (see list below)</w:t>
      </w:r>
    </w:p>
    <w:p w:rsidR="00600D16" w:rsidRPr="00600D16" w:rsidRDefault="00600D16" w:rsidP="00600D16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292B80" w:rsidRPr="00292B80" w:rsidRDefault="00D56008" w:rsidP="00292B80">
      <w:pPr>
        <w:widowControl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Table 1. </w:t>
      </w:r>
      <w:r w:rsidR="00292B80" w:rsidRPr="00292B80">
        <w:rPr>
          <w:rFonts w:cstheme="minorHAnsi"/>
          <w:b/>
          <w:color w:val="000000" w:themeColor="text1"/>
        </w:rPr>
        <w:t>Approved IV/PO Equivalent Antibiotics and Regimens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92"/>
        <w:gridCol w:w="4093"/>
      </w:tblGrid>
      <w:tr w:rsidR="00292B80" w:rsidTr="009554BE">
        <w:tc>
          <w:tcPr>
            <w:tcW w:w="1885" w:type="dxa"/>
          </w:tcPr>
          <w:p w:rsidR="00292B80" w:rsidRPr="00A630D2" w:rsidRDefault="009554BE" w:rsidP="00292B80">
            <w:pPr>
              <w:widowControl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b/>
                <w:color w:val="000000" w:themeColor="text1"/>
                <w:sz w:val="20"/>
                <w:szCs w:val="20"/>
              </w:rPr>
              <w:t>Antibiotic</w:t>
            </w:r>
          </w:p>
        </w:tc>
        <w:tc>
          <w:tcPr>
            <w:tcW w:w="4092" w:type="dxa"/>
          </w:tcPr>
          <w:p w:rsidR="00292B80" w:rsidRPr="00A630D2" w:rsidRDefault="009554BE" w:rsidP="00292B80">
            <w:pPr>
              <w:widowControl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b/>
                <w:color w:val="000000" w:themeColor="text1"/>
                <w:sz w:val="20"/>
                <w:szCs w:val="20"/>
              </w:rPr>
              <w:t>IV Regimen</w:t>
            </w:r>
          </w:p>
        </w:tc>
        <w:tc>
          <w:tcPr>
            <w:tcW w:w="4093" w:type="dxa"/>
          </w:tcPr>
          <w:p w:rsidR="00292B80" w:rsidRPr="00A630D2" w:rsidRDefault="009554BE" w:rsidP="00292B80">
            <w:pPr>
              <w:widowControl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b/>
                <w:color w:val="000000" w:themeColor="text1"/>
                <w:sz w:val="20"/>
                <w:szCs w:val="20"/>
              </w:rPr>
              <w:t>Equivalent PO Regimen</w:t>
            </w:r>
          </w:p>
        </w:tc>
      </w:tr>
      <w:tr w:rsidR="009554BE" w:rsidTr="009554BE">
        <w:tc>
          <w:tcPr>
            <w:tcW w:w="1885" w:type="dxa"/>
            <w:vMerge w:val="restart"/>
          </w:tcPr>
          <w:p w:rsidR="009554BE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Azithromycin</w:t>
            </w:r>
          </w:p>
        </w:tc>
        <w:tc>
          <w:tcPr>
            <w:tcW w:w="4092" w:type="dxa"/>
          </w:tcPr>
          <w:p w:rsidR="009554BE" w:rsidRPr="00A630D2" w:rsidRDefault="009554BE" w:rsidP="00A630D2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250</w:t>
            </w:r>
            <w:r w:rsidR="00A630D2" w:rsidRPr="00A630D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IV q24h</w:t>
            </w:r>
          </w:p>
        </w:tc>
        <w:tc>
          <w:tcPr>
            <w:tcW w:w="4093" w:type="dxa"/>
          </w:tcPr>
          <w:p w:rsidR="009554BE" w:rsidRPr="00A630D2" w:rsidRDefault="00A630D2" w:rsidP="00A630D2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250 mg PO q24h</w:t>
            </w:r>
          </w:p>
        </w:tc>
      </w:tr>
      <w:tr w:rsidR="009554BE" w:rsidTr="009554BE">
        <w:tc>
          <w:tcPr>
            <w:tcW w:w="1885" w:type="dxa"/>
            <w:vMerge/>
          </w:tcPr>
          <w:p w:rsidR="009554BE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9554BE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500</w:t>
            </w:r>
            <w:r w:rsidR="00A630D2" w:rsidRPr="00A630D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IV q24h</w:t>
            </w:r>
          </w:p>
        </w:tc>
        <w:tc>
          <w:tcPr>
            <w:tcW w:w="4093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500 mg</w:t>
            </w:r>
            <w:r w:rsidR="009554BE" w:rsidRPr="00A630D2">
              <w:rPr>
                <w:rFonts w:cstheme="minorHAnsi"/>
                <w:color w:val="000000" w:themeColor="text1"/>
                <w:sz w:val="20"/>
                <w:szCs w:val="20"/>
              </w:rPr>
              <w:t xml:space="preserve"> PO q24h</w:t>
            </w:r>
          </w:p>
        </w:tc>
      </w:tr>
      <w:tr w:rsidR="00A630D2" w:rsidTr="009554BE">
        <w:tc>
          <w:tcPr>
            <w:tcW w:w="1885" w:type="dxa"/>
            <w:vMerge w:val="restart"/>
          </w:tcPr>
          <w:p w:rsidR="00A630D2" w:rsidRPr="00A630D2" w:rsidRDefault="00A630D2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Clindamycin</w:t>
            </w:r>
          </w:p>
        </w:tc>
        <w:tc>
          <w:tcPr>
            <w:tcW w:w="4092" w:type="dxa"/>
          </w:tcPr>
          <w:p w:rsidR="00A630D2" w:rsidRPr="00A630D2" w:rsidRDefault="00A630D2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300 mg IV q6h or q8h</w:t>
            </w:r>
          </w:p>
        </w:tc>
        <w:tc>
          <w:tcPr>
            <w:tcW w:w="4093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150 mg PO, same frequency</w:t>
            </w:r>
          </w:p>
        </w:tc>
      </w:tr>
      <w:tr w:rsidR="00A630D2" w:rsidTr="009554BE">
        <w:tc>
          <w:tcPr>
            <w:tcW w:w="1885" w:type="dxa"/>
            <w:vMerge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A630D2" w:rsidRPr="00A630D2" w:rsidRDefault="00A630D2" w:rsidP="00A630D2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600 mg IV q6h or q8h</w:t>
            </w:r>
          </w:p>
        </w:tc>
        <w:tc>
          <w:tcPr>
            <w:tcW w:w="4093" w:type="dxa"/>
          </w:tcPr>
          <w:p w:rsidR="00A630D2" w:rsidRPr="00A630D2" w:rsidRDefault="00A630D2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300 mg PO, same frequency</w:t>
            </w:r>
          </w:p>
        </w:tc>
      </w:tr>
      <w:tr w:rsidR="00A630D2" w:rsidTr="009554BE">
        <w:tc>
          <w:tcPr>
            <w:tcW w:w="1885" w:type="dxa"/>
            <w:vMerge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A630D2" w:rsidRPr="00A630D2" w:rsidRDefault="00A630D2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900 mg IV q6h or q8h</w:t>
            </w:r>
          </w:p>
        </w:tc>
        <w:tc>
          <w:tcPr>
            <w:tcW w:w="4093" w:type="dxa"/>
          </w:tcPr>
          <w:p w:rsidR="00A630D2" w:rsidRPr="00A630D2" w:rsidRDefault="00A630D2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450 mg PO, same frequency</w:t>
            </w:r>
          </w:p>
        </w:tc>
      </w:tr>
      <w:tr w:rsidR="00A21F04" w:rsidTr="009554BE">
        <w:tc>
          <w:tcPr>
            <w:tcW w:w="1885" w:type="dxa"/>
            <w:vMerge w:val="restart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Ciprofloxacin</w:t>
            </w:r>
          </w:p>
        </w:tc>
        <w:tc>
          <w:tcPr>
            <w:tcW w:w="4092" w:type="dxa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200 mg IV q12h or q24h</w:t>
            </w:r>
          </w:p>
        </w:tc>
        <w:tc>
          <w:tcPr>
            <w:tcW w:w="4093" w:type="dxa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250 mg PO, same frequency</w:t>
            </w:r>
          </w:p>
        </w:tc>
      </w:tr>
      <w:tr w:rsidR="00A21F04" w:rsidTr="009554BE">
        <w:tc>
          <w:tcPr>
            <w:tcW w:w="1885" w:type="dxa"/>
            <w:vMerge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400 mg IV q12h or q24h</w:t>
            </w:r>
          </w:p>
        </w:tc>
        <w:tc>
          <w:tcPr>
            <w:tcW w:w="4093" w:type="dxa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500 mg PO, same frequency</w:t>
            </w:r>
          </w:p>
        </w:tc>
      </w:tr>
      <w:tr w:rsidR="00A21F04" w:rsidTr="009554BE">
        <w:tc>
          <w:tcPr>
            <w:tcW w:w="1885" w:type="dxa"/>
            <w:vMerge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 mg IV q8h</w:t>
            </w:r>
          </w:p>
        </w:tc>
        <w:tc>
          <w:tcPr>
            <w:tcW w:w="4093" w:type="dxa"/>
          </w:tcPr>
          <w:p w:rsidR="00A21F04" w:rsidRPr="00A630D2" w:rsidRDefault="00A21F04" w:rsidP="009554BE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 mg PO q12h</w:t>
            </w:r>
          </w:p>
        </w:tc>
      </w:tr>
      <w:tr w:rsidR="009554BE" w:rsidTr="009554BE">
        <w:tc>
          <w:tcPr>
            <w:tcW w:w="1885" w:type="dxa"/>
          </w:tcPr>
          <w:p w:rsidR="009554BE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Doxycycline</w:t>
            </w:r>
          </w:p>
        </w:tc>
        <w:tc>
          <w:tcPr>
            <w:tcW w:w="4092" w:type="dxa"/>
          </w:tcPr>
          <w:p w:rsidR="009554BE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  <w:r w:rsidR="00A630D2" w:rsidRPr="00A630D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IV q12h</w:t>
            </w:r>
          </w:p>
        </w:tc>
        <w:tc>
          <w:tcPr>
            <w:tcW w:w="4093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100 mg</w:t>
            </w:r>
            <w:r w:rsidR="009554BE" w:rsidRPr="00A630D2">
              <w:rPr>
                <w:rFonts w:cstheme="minorHAnsi"/>
                <w:color w:val="000000" w:themeColor="text1"/>
                <w:sz w:val="20"/>
                <w:szCs w:val="20"/>
              </w:rPr>
              <w:t xml:space="preserve"> PO q12h</w:t>
            </w:r>
          </w:p>
        </w:tc>
      </w:tr>
      <w:tr w:rsidR="00292B80" w:rsidTr="009554BE">
        <w:tc>
          <w:tcPr>
            <w:tcW w:w="1885" w:type="dxa"/>
          </w:tcPr>
          <w:p w:rsidR="00292B80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Fluconazole</w:t>
            </w:r>
          </w:p>
        </w:tc>
        <w:tc>
          <w:tcPr>
            <w:tcW w:w="4092" w:type="dxa"/>
          </w:tcPr>
          <w:p w:rsidR="00292B80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  <w:r w:rsidR="00A630D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to 800</w:t>
            </w:r>
            <w:r w:rsidR="0004649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IV q24h</w:t>
            </w:r>
          </w:p>
        </w:tc>
        <w:tc>
          <w:tcPr>
            <w:tcW w:w="4093" w:type="dxa"/>
          </w:tcPr>
          <w:p w:rsidR="00292B80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Same dose, PO q24h</w:t>
            </w:r>
          </w:p>
        </w:tc>
      </w:tr>
      <w:tr w:rsidR="009554BE" w:rsidTr="009554BE">
        <w:tc>
          <w:tcPr>
            <w:tcW w:w="1885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Levofloxacin</w:t>
            </w:r>
          </w:p>
        </w:tc>
        <w:tc>
          <w:tcPr>
            <w:tcW w:w="4092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250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IV q24h or q48h</w:t>
            </w:r>
          </w:p>
        </w:tc>
        <w:tc>
          <w:tcPr>
            <w:tcW w:w="4093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250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PO, same frequency</w:t>
            </w:r>
          </w:p>
        </w:tc>
      </w:tr>
      <w:tr w:rsidR="00A630D2" w:rsidTr="009554BE">
        <w:tc>
          <w:tcPr>
            <w:tcW w:w="1885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500 mg IV q24h or q48h</w:t>
            </w:r>
          </w:p>
        </w:tc>
        <w:tc>
          <w:tcPr>
            <w:tcW w:w="4093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500 mg PO, same frequency</w:t>
            </w:r>
          </w:p>
        </w:tc>
      </w:tr>
      <w:tr w:rsidR="00EF081E" w:rsidTr="009554BE">
        <w:tc>
          <w:tcPr>
            <w:tcW w:w="1885" w:type="dxa"/>
          </w:tcPr>
          <w:p w:rsidR="00EF081E" w:rsidRPr="00A630D2" w:rsidRDefault="00EF081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EF081E" w:rsidRDefault="00EF081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 mg IV q24h or q48h</w:t>
            </w:r>
          </w:p>
        </w:tc>
        <w:tc>
          <w:tcPr>
            <w:tcW w:w="4093" w:type="dxa"/>
          </w:tcPr>
          <w:p w:rsidR="00EF081E" w:rsidRDefault="00EF081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750 mg PO, same frequency</w:t>
            </w:r>
          </w:p>
        </w:tc>
      </w:tr>
      <w:tr w:rsidR="009554BE" w:rsidTr="009554BE">
        <w:tc>
          <w:tcPr>
            <w:tcW w:w="1885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Linezolid</w:t>
            </w:r>
          </w:p>
        </w:tc>
        <w:tc>
          <w:tcPr>
            <w:tcW w:w="4092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600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IV q12h</w:t>
            </w:r>
          </w:p>
        </w:tc>
        <w:tc>
          <w:tcPr>
            <w:tcW w:w="4093" w:type="dxa"/>
          </w:tcPr>
          <w:p w:rsidR="009554BE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600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630D2">
              <w:rPr>
                <w:rFonts w:cstheme="minorHAnsi"/>
                <w:color w:val="000000" w:themeColor="text1"/>
                <w:sz w:val="20"/>
                <w:szCs w:val="20"/>
              </w:rPr>
              <w:t>mg PO q12h</w:t>
            </w:r>
          </w:p>
        </w:tc>
      </w:tr>
      <w:tr w:rsidR="00A630D2" w:rsidTr="009554BE">
        <w:tc>
          <w:tcPr>
            <w:tcW w:w="1885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Metronidazole</w:t>
            </w:r>
          </w:p>
        </w:tc>
        <w:tc>
          <w:tcPr>
            <w:tcW w:w="4092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500 mg IV q8h </w:t>
            </w:r>
          </w:p>
        </w:tc>
        <w:tc>
          <w:tcPr>
            <w:tcW w:w="4093" w:type="dxa"/>
          </w:tcPr>
          <w:p w:rsidR="00A630D2" w:rsidRPr="00A630D2" w:rsidRDefault="00A630D2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500 mg PO q8h</w:t>
            </w:r>
          </w:p>
        </w:tc>
      </w:tr>
      <w:tr w:rsidR="00A630D2" w:rsidTr="009554BE">
        <w:tc>
          <w:tcPr>
            <w:tcW w:w="1885" w:type="dxa"/>
          </w:tcPr>
          <w:p w:rsidR="00A630D2" w:rsidRPr="00A630D2" w:rsidRDefault="00046499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Rifampin</w:t>
            </w:r>
          </w:p>
        </w:tc>
        <w:tc>
          <w:tcPr>
            <w:tcW w:w="4092" w:type="dxa"/>
          </w:tcPr>
          <w:p w:rsidR="00A630D2" w:rsidRPr="00A630D2" w:rsidRDefault="00046499" w:rsidP="00046499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300 mg IV q12h or q8h</w:t>
            </w:r>
          </w:p>
        </w:tc>
        <w:tc>
          <w:tcPr>
            <w:tcW w:w="4093" w:type="dxa"/>
          </w:tcPr>
          <w:p w:rsidR="00A630D2" w:rsidRPr="00A630D2" w:rsidRDefault="00046499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300 mg PO, same frequency</w:t>
            </w:r>
          </w:p>
        </w:tc>
      </w:tr>
      <w:tr w:rsidR="009554BE" w:rsidTr="009554BE">
        <w:tc>
          <w:tcPr>
            <w:tcW w:w="1885" w:type="dxa"/>
          </w:tcPr>
          <w:p w:rsidR="009554BE" w:rsidRPr="00A630D2" w:rsidRDefault="009554BE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</w:tcPr>
          <w:p w:rsidR="009554BE" w:rsidRPr="00A630D2" w:rsidRDefault="00046499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600 mg IV q24h</w:t>
            </w:r>
          </w:p>
        </w:tc>
        <w:tc>
          <w:tcPr>
            <w:tcW w:w="4093" w:type="dxa"/>
          </w:tcPr>
          <w:p w:rsidR="009554BE" w:rsidRPr="00A630D2" w:rsidRDefault="00046499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600 mg PO q24h</w:t>
            </w:r>
          </w:p>
        </w:tc>
      </w:tr>
      <w:tr w:rsidR="009554BE" w:rsidTr="009554BE">
        <w:tc>
          <w:tcPr>
            <w:tcW w:w="1885" w:type="dxa"/>
          </w:tcPr>
          <w:p w:rsidR="009554BE" w:rsidRPr="00A630D2" w:rsidRDefault="00046499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TMP-SMX</w:t>
            </w:r>
          </w:p>
        </w:tc>
        <w:tc>
          <w:tcPr>
            <w:tcW w:w="4092" w:type="dxa"/>
          </w:tcPr>
          <w:p w:rsidR="009554BE" w:rsidRPr="00A630D2" w:rsidRDefault="00046499" w:rsidP="00292B80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Various dose IV q6h to q24h</w:t>
            </w:r>
          </w:p>
        </w:tc>
        <w:tc>
          <w:tcPr>
            <w:tcW w:w="4093" w:type="dxa"/>
          </w:tcPr>
          <w:p w:rsidR="009554BE" w:rsidRPr="00A630D2" w:rsidRDefault="00046499" w:rsidP="00046499">
            <w:pPr>
              <w:widowControl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Same dose* PO q6h to q24h</w:t>
            </w:r>
          </w:p>
        </w:tc>
      </w:tr>
    </w:tbl>
    <w:p w:rsidR="00BF2964" w:rsidRPr="00046499" w:rsidRDefault="00046499" w:rsidP="00292B80">
      <w:pPr>
        <w:widowControl w:val="0"/>
        <w:spacing w:after="0" w:line="240" w:lineRule="auto"/>
        <w:rPr>
          <w:rFonts w:cstheme="minorHAnsi"/>
          <w:sz w:val="18"/>
          <w:szCs w:val="18"/>
        </w:rPr>
      </w:pPr>
      <w:r w:rsidRPr="00046499">
        <w:rPr>
          <w:rFonts w:cstheme="minorHAnsi"/>
          <w:color w:val="000000" w:themeColor="text1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Adjust dose to the closest single- (80mg TMP) or double- (160mg TMP) strength tablet equivalent</w:t>
      </w:r>
      <w:r w:rsidR="00E01FED" w:rsidRPr="00046499">
        <w:rPr>
          <w:rFonts w:cstheme="minorHAnsi"/>
          <w:sz w:val="18"/>
          <w:szCs w:val="18"/>
        </w:rPr>
        <w:br/>
      </w:r>
    </w:p>
    <w:p w:rsidR="00E01FED" w:rsidRDefault="00EF081E" w:rsidP="00046499">
      <w:pPr>
        <w:widowControl w:val="0"/>
        <w:spacing w:after="0" w:line="240" w:lineRule="auto"/>
        <w:rPr>
          <w:rFonts w:cstheme="minorHAnsi"/>
          <w:b/>
          <w:color w:val="000000" w:themeColor="text1"/>
        </w:rPr>
      </w:pPr>
      <w:r w:rsidRPr="00EF081E">
        <w:rPr>
          <w:rFonts w:cstheme="minorHAnsi"/>
          <w:b/>
          <w:color w:val="000000" w:themeColor="text1"/>
        </w:rPr>
        <w:lastRenderedPageBreak/>
        <w:t>Procedure</w:t>
      </w:r>
      <w:r>
        <w:rPr>
          <w:rFonts w:cstheme="minorHAnsi"/>
          <w:b/>
          <w:color w:val="000000" w:themeColor="text1"/>
        </w:rPr>
        <w:t>s</w:t>
      </w:r>
    </w:p>
    <w:p w:rsidR="00EF081E" w:rsidRDefault="00D56008" w:rsidP="00EF081E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After one dose of IV antibiotic therapy, patient will be evaluated for eligibility to continue treatment with PO antibiotic therapy</w:t>
      </w:r>
    </w:p>
    <w:p w:rsidR="00B67CC8" w:rsidRDefault="00D56008" w:rsidP="00EF081E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all conversion criteria are met, IV antibiotic order will be discontinued</w:t>
      </w:r>
    </w:p>
    <w:p w:rsidR="00EF081E" w:rsidRDefault="00B67CC8" w:rsidP="00EF081E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n</w:t>
      </w:r>
      <w:r w:rsidR="00D56008">
        <w:rPr>
          <w:rFonts w:cstheme="minorHAnsi"/>
          <w:color w:val="000000" w:themeColor="text1"/>
        </w:rPr>
        <w:t>ew PO antibiotic order will be entered via CPOE system starting with the next scheduled dose</w:t>
      </w:r>
    </w:p>
    <w:p w:rsidR="00B67CC8" w:rsidRDefault="00D56008" w:rsidP="00EF081E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IV to PO therapy conversion will be document in </w:t>
      </w:r>
      <w:r w:rsidR="00B67CC8">
        <w:rPr>
          <w:rFonts w:cstheme="minorHAnsi"/>
          <w:color w:val="000000" w:themeColor="text1"/>
        </w:rPr>
        <w:t xml:space="preserve">patient’s </w:t>
      </w:r>
      <w:r>
        <w:rPr>
          <w:rFonts w:cstheme="minorHAnsi"/>
          <w:color w:val="000000" w:themeColor="text1"/>
        </w:rPr>
        <w:t xml:space="preserve">EMR with </w:t>
      </w:r>
      <w:r w:rsidR="00B67CC8">
        <w:rPr>
          <w:rFonts w:cstheme="minorHAnsi"/>
          <w:color w:val="000000" w:themeColor="text1"/>
        </w:rPr>
        <w:t>the following information:</w:t>
      </w:r>
    </w:p>
    <w:p w:rsidR="00600D16" w:rsidRPr="00600D16" w:rsidRDefault="00600D16" w:rsidP="00600D16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B67CC8" w:rsidRDefault="00B67CC8" w:rsidP="00B67CC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Date/time of review</w:t>
      </w:r>
    </w:p>
    <w:p w:rsidR="00B67CC8" w:rsidRDefault="00B67CC8" w:rsidP="00B67CC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 IV regimen, including dose and frequency</w:t>
      </w:r>
    </w:p>
    <w:p w:rsidR="00B67CC8" w:rsidRDefault="00B67CC8" w:rsidP="00B67CC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Criteria making patients eligible for IV-to-PO conversion,</w:t>
      </w:r>
    </w:p>
    <w:p w:rsidR="00B67CC8" w:rsidRDefault="00B67CC8" w:rsidP="00B67CC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New PO regimen, including dose and frequency</w:t>
      </w:r>
    </w:p>
    <w:p w:rsidR="00D56008" w:rsidRDefault="00B67CC8" w:rsidP="00B67CC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Date/time of first scheduled PO dose</w:t>
      </w:r>
    </w:p>
    <w:p w:rsidR="00600D16" w:rsidRPr="00600D16" w:rsidRDefault="00600D16" w:rsidP="00600D16">
      <w:pPr>
        <w:widowControl w:val="0"/>
        <w:spacing w:after="0" w:line="240" w:lineRule="auto"/>
        <w:ind w:left="720"/>
        <w:rPr>
          <w:rFonts w:cstheme="minorHAnsi"/>
          <w:color w:val="000000" w:themeColor="text1"/>
        </w:rPr>
      </w:pPr>
    </w:p>
    <w:p w:rsidR="00B67CC8" w:rsidRDefault="00B67CC8" w:rsidP="00B67CC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IV therapy is not converted after initial review, patient will be re-evaluated daily for eligibility to convert to PO therapy</w:t>
      </w:r>
    </w:p>
    <w:p w:rsidR="00600D16" w:rsidRDefault="00600D16" w:rsidP="00B67CC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primary provider disagrees with IV-to-PO conversion, he/she can discontinue order for PO therapy and enter order for IV therapy in CPOE</w:t>
      </w:r>
    </w:p>
    <w:p w:rsidR="00600D16" w:rsidRPr="00EF081E" w:rsidRDefault="00600D16" w:rsidP="00B67CC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If primary provider agrees with IV-to-PO conversion but would like to change medication or adjust dosing regimen, he/she can discontinue current PO order and place a new antibiotic order in CPOE </w:t>
      </w:r>
    </w:p>
    <w:sectPr w:rsidR="00600D16" w:rsidRPr="00EF081E" w:rsidSect="00A21F04">
      <w:headerReference w:type="default" r:id="rId7"/>
      <w:footerReference w:type="default" r:id="rId8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47" w:rsidRDefault="00217B47" w:rsidP="00217B47">
      <w:pPr>
        <w:spacing w:after="0" w:line="240" w:lineRule="auto"/>
      </w:pPr>
      <w:r>
        <w:separator/>
      </w:r>
    </w:p>
  </w:endnote>
  <w:endnote w:type="continuationSeparator" w:id="0">
    <w:p w:rsidR="00217B47" w:rsidRDefault="00217B47" w:rsidP="0021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5A" w:rsidRDefault="007D325A" w:rsidP="007D325A">
    <w:pPr>
      <w:pStyle w:val="Footer"/>
      <w:tabs>
        <w:tab w:val="clear" w:pos="9360"/>
        <w:tab w:val="right" w:pos="10080"/>
      </w:tabs>
      <w:ind w:right="-720"/>
      <w:jc w:val="right"/>
    </w:pPr>
    <w:r>
      <w:rPr>
        <w:noProof/>
      </w:rPr>
      <w:drawing>
        <wp:inline distT="0" distB="0" distL="0" distR="0" wp14:anchorId="599324E4" wp14:editId="7CFB2926">
          <wp:extent cx="2377440" cy="85953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59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47" w:rsidRDefault="00217B47" w:rsidP="00217B47">
      <w:pPr>
        <w:spacing w:after="0" w:line="240" w:lineRule="auto"/>
      </w:pPr>
      <w:r>
        <w:separator/>
      </w:r>
    </w:p>
  </w:footnote>
  <w:footnote w:type="continuationSeparator" w:id="0">
    <w:p w:rsidR="00217B47" w:rsidRDefault="00217B47" w:rsidP="0021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47" w:rsidRPr="00CC3617" w:rsidRDefault="002D0441">
    <w:pPr>
      <w:pStyle w:val="Header"/>
      <w:rPr>
        <w:b/>
      </w:rPr>
    </w:pPr>
    <w:r>
      <w:rPr>
        <w:b/>
      </w:rPr>
      <w:t>Automatic</w:t>
    </w:r>
    <w:r w:rsidR="00217B47" w:rsidRPr="00CC3617">
      <w:rPr>
        <w:b/>
      </w:rPr>
      <w:t xml:space="preserve"> IV to PO </w:t>
    </w:r>
    <w:r>
      <w:rPr>
        <w:b/>
      </w:rPr>
      <w:t>Antibiotic C</w:t>
    </w:r>
    <w:r w:rsidR="00217B47" w:rsidRPr="00CC3617">
      <w:rPr>
        <w:b/>
      </w:rPr>
      <w:t xml:space="preserve">onversion </w:t>
    </w:r>
    <w:r>
      <w:rPr>
        <w:b/>
      </w:rPr>
      <w:t>P</w:t>
    </w:r>
    <w:r w:rsidR="00217B47" w:rsidRPr="00CC3617">
      <w:rPr>
        <w:b/>
      </w:rPr>
      <w:t>olicy</w:t>
    </w:r>
    <w:r>
      <w:rPr>
        <w:b/>
      </w:rPr>
      <w:t xml:space="preserve"> Template</w:t>
    </w:r>
  </w:p>
  <w:p w:rsidR="00217B47" w:rsidRDefault="00217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022"/>
    <w:multiLevelType w:val="hybridMultilevel"/>
    <w:tmpl w:val="DADA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4AE"/>
    <w:multiLevelType w:val="hybridMultilevel"/>
    <w:tmpl w:val="1F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6B0E"/>
    <w:multiLevelType w:val="hybridMultilevel"/>
    <w:tmpl w:val="1F9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47"/>
    <w:rsid w:val="0000145E"/>
    <w:rsid w:val="00046499"/>
    <w:rsid w:val="00217B47"/>
    <w:rsid w:val="00245EF5"/>
    <w:rsid w:val="00292B80"/>
    <w:rsid w:val="002D0441"/>
    <w:rsid w:val="002E384C"/>
    <w:rsid w:val="002F6D8D"/>
    <w:rsid w:val="00502DB7"/>
    <w:rsid w:val="00600D16"/>
    <w:rsid w:val="007D325A"/>
    <w:rsid w:val="007D4353"/>
    <w:rsid w:val="009554BE"/>
    <w:rsid w:val="00A21F04"/>
    <w:rsid w:val="00A25C74"/>
    <w:rsid w:val="00A46B95"/>
    <w:rsid w:val="00A630D2"/>
    <w:rsid w:val="00B67CC8"/>
    <w:rsid w:val="00BF2964"/>
    <w:rsid w:val="00C308D9"/>
    <w:rsid w:val="00CC3617"/>
    <w:rsid w:val="00D56008"/>
    <w:rsid w:val="00E01FED"/>
    <w:rsid w:val="00EF081E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FEFA-DF56-4176-916B-96BE81D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47"/>
  </w:style>
  <w:style w:type="paragraph" w:styleId="Footer">
    <w:name w:val="footer"/>
    <w:basedOn w:val="Normal"/>
    <w:link w:val="FooterChar"/>
    <w:uiPriority w:val="99"/>
    <w:unhideWhenUsed/>
    <w:rsid w:val="0021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47"/>
  </w:style>
  <w:style w:type="paragraph" w:styleId="ListParagraph">
    <w:name w:val="List Paragraph"/>
    <w:basedOn w:val="Normal"/>
    <w:uiPriority w:val="34"/>
    <w:qFormat/>
    <w:rsid w:val="00E01FED"/>
    <w:pPr>
      <w:ind w:left="720"/>
      <w:contextualSpacing/>
    </w:pPr>
  </w:style>
  <w:style w:type="table" w:styleId="TableGrid">
    <w:name w:val="Table Grid"/>
    <w:basedOn w:val="TableNormal"/>
    <w:uiPriority w:val="39"/>
    <w:rsid w:val="0029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Phil</cp:lastModifiedBy>
  <cp:revision>3</cp:revision>
  <dcterms:created xsi:type="dcterms:W3CDTF">2017-07-04T16:16:00Z</dcterms:created>
  <dcterms:modified xsi:type="dcterms:W3CDTF">2017-07-04T16:49:00Z</dcterms:modified>
</cp:coreProperties>
</file>