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1AA" w14:textId="77777777" w:rsidR="003D4FE8" w:rsidRPr="003D4FE8" w:rsidRDefault="003D4FE8" w:rsidP="003D4FE8">
      <w:pPr>
        <w:rPr>
          <w:rFonts w:cstheme="minorHAnsi"/>
          <w:b/>
          <w:sz w:val="28"/>
          <w:szCs w:val="28"/>
          <w:u w:val="single"/>
        </w:rPr>
      </w:pPr>
    </w:p>
    <w:p w14:paraId="2C0355D3" w14:textId="77777777" w:rsidR="003D4FE8" w:rsidRPr="003D4FE8" w:rsidRDefault="003D4FE8" w:rsidP="003D4FE8">
      <w:pPr>
        <w:jc w:val="center"/>
        <w:rPr>
          <w:rFonts w:cstheme="minorHAnsi"/>
          <w:b/>
          <w:sz w:val="28"/>
          <w:szCs w:val="28"/>
          <w:u w:val="single"/>
        </w:rPr>
      </w:pPr>
      <w:r w:rsidRPr="003D4FE8">
        <w:rPr>
          <w:rFonts w:cstheme="minorHAnsi"/>
          <w:b/>
          <w:sz w:val="28"/>
          <w:szCs w:val="28"/>
          <w:u w:val="single"/>
        </w:rPr>
        <w:t>Note to Attending Physician/Prescriber</w:t>
      </w:r>
    </w:p>
    <w:p w14:paraId="17004C4F" w14:textId="77777777" w:rsidR="003D4FE8" w:rsidRPr="003D4FE8" w:rsidRDefault="003D4FE8" w:rsidP="003D4FE8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3D4FE8">
        <w:rPr>
          <w:rFonts w:cstheme="minorHAnsi"/>
          <w:sz w:val="20"/>
          <w:szCs w:val="20"/>
        </w:rPr>
        <w:t xml:space="preserve">Resident: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ab/>
        <w:t xml:space="preserve">DOB: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</w:p>
    <w:p w14:paraId="017C1F36" w14:textId="77777777" w:rsidR="003D4FE8" w:rsidRPr="003D4FE8" w:rsidRDefault="003D4FE8" w:rsidP="003D4FE8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3D4FE8">
        <w:rPr>
          <w:rFonts w:cstheme="minorHAnsi"/>
          <w:sz w:val="20"/>
          <w:szCs w:val="20"/>
        </w:rPr>
        <w:t xml:space="preserve">Care Center: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ab/>
        <w:t xml:space="preserve">Station: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 xml:space="preserve"> Room: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 xml:space="preserve"> Bed: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</w:p>
    <w:p w14:paraId="11C60A0D" w14:textId="77777777" w:rsidR="003D4FE8" w:rsidRPr="003D4FE8" w:rsidRDefault="003D4FE8" w:rsidP="003D4FE8">
      <w:pPr>
        <w:spacing w:after="12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Physician/Prescriber: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</w:p>
    <w:p w14:paraId="757C475F" w14:textId="77777777" w:rsidR="003D4FE8" w:rsidRPr="003D4FE8" w:rsidRDefault="003D4FE8" w:rsidP="003D4FE8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</w:r>
      <w:r w:rsidRPr="003D4FE8">
        <w:rPr>
          <w:rFonts w:cstheme="minorHAnsi"/>
          <w:sz w:val="20"/>
          <w:szCs w:val="20"/>
        </w:rPr>
        <w:tab/>
        <w:t xml:space="preserve">MRR Date: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</w:p>
    <w:p w14:paraId="3BCB0B20" w14:textId="77777777" w:rsidR="003D4FE8" w:rsidRPr="003D4FE8" w:rsidRDefault="003D4FE8" w:rsidP="003D4FE8">
      <w:pPr>
        <w:spacing w:after="120" w:line="48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This resident received </w:t>
      </w:r>
      <w:r w:rsidRPr="003D4FE8">
        <w:rPr>
          <w:rFonts w:cstheme="minorHAnsi"/>
          <w:color w:val="FF0000"/>
          <w:sz w:val="20"/>
          <w:szCs w:val="20"/>
        </w:rPr>
        <w:t>[number]</w:t>
      </w:r>
      <w:r w:rsidRPr="003D4FE8">
        <w:rPr>
          <w:rFonts w:cstheme="minorHAnsi"/>
          <w:sz w:val="20"/>
          <w:szCs w:val="20"/>
        </w:rPr>
        <w:t xml:space="preserve"> days of </w:t>
      </w:r>
      <w:r w:rsidRPr="003D4FE8">
        <w:rPr>
          <w:rFonts w:cstheme="minorHAnsi"/>
          <w:color w:val="FF0000"/>
          <w:sz w:val="20"/>
          <w:szCs w:val="20"/>
        </w:rPr>
        <w:t xml:space="preserve">[drug, dose, frequency] </w:t>
      </w:r>
      <w:r w:rsidRPr="003D4FE8">
        <w:rPr>
          <w:rFonts w:cstheme="minorHAnsi"/>
          <w:sz w:val="20"/>
          <w:szCs w:val="20"/>
        </w:rPr>
        <w:t>for treatment of</w:t>
      </w:r>
      <w:r w:rsidRPr="003D4FE8">
        <w:rPr>
          <w:rFonts w:cstheme="minorHAnsi"/>
          <w:color w:val="FF0000"/>
          <w:sz w:val="20"/>
          <w:szCs w:val="20"/>
        </w:rPr>
        <w:t xml:space="preserve"> [cystitis / pyelonephritis / catheter-associated UTI / complicated UTI]</w:t>
      </w:r>
      <w:r w:rsidRPr="003D4FE8">
        <w:rPr>
          <w:rFonts w:cstheme="minorHAnsi"/>
          <w:sz w:val="20"/>
          <w:szCs w:val="20"/>
        </w:rPr>
        <w:t xml:space="preserve">.  Based on current guidelines from Infectious Diseases Society of America for treatment of </w:t>
      </w:r>
      <w:r w:rsidRPr="003D4FE8">
        <w:rPr>
          <w:rFonts w:cstheme="minorHAnsi"/>
          <w:color w:val="FF0000"/>
          <w:sz w:val="20"/>
          <w:szCs w:val="20"/>
        </w:rPr>
        <w:t>[cystitis / pyelonephritis / catheter-associated UTI / complicated UTI]</w:t>
      </w:r>
      <w:r w:rsidRPr="003D4FE8">
        <w:rPr>
          <w:rFonts w:cstheme="minorHAnsi"/>
          <w:sz w:val="20"/>
          <w:szCs w:val="20"/>
        </w:rPr>
        <w:t xml:space="preserve">, this resident received </w:t>
      </w:r>
      <w:r w:rsidRPr="003D4FE8">
        <w:rPr>
          <w:rFonts w:cstheme="minorHAnsi"/>
          <w:color w:val="FF0000"/>
          <w:sz w:val="20"/>
          <w:szCs w:val="20"/>
        </w:rPr>
        <w:t>[longer / shorter]</w:t>
      </w:r>
      <w:r w:rsidRPr="003D4FE8">
        <w:rPr>
          <w:rFonts w:cstheme="minorHAnsi"/>
          <w:sz w:val="20"/>
          <w:szCs w:val="20"/>
        </w:rPr>
        <w:t xml:space="preserve"> duration than the recommended </w:t>
      </w:r>
      <w:r w:rsidRPr="003D4FE8">
        <w:rPr>
          <w:rFonts w:cstheme="minorHAnsi"/>
          <w:color w:val="FF0000"/>
          <w:sz w:val="20"/>
          <w:szCs w:val="20"/>
        </w:rPr>
        <w:t>[number]</w:t>
      </w:r>
      <w:r w:rsidRPr="003D4FE8">
        <w:rPr>
          <w:rFonts w:cstheme="minorHAnsi"/>
          <w:sz w:val="20"/>
          <w:szCs w:val="20"/>
        </w:rPr>
        <w:t xml:space="preserve"> days.  Please take this into consideration if the resident needs to be treated for this infection in the future.</w:t>
      </w:r>
    </w:p>
    <w:p w14:paraId="77769361" w14:textId="77777777" w:rsidR="003D4FE8" w:rsidRPr="003D4FE8" w:rsidRDefault="003D4FE8" w:rsidP="003D4FE8">
      <w:pPr>
        <w:pBdr>
          <w:top w:val="single" w:sz="4" w:space="1" w:color="auto"/>
        </w:pBdr>
        <w:spacing w:after="120" w:line="480" w:lineRule="auto"/>
        <w:rPr>
          <w:rFonts w:cstheme="minorHAnsi"/>
          <w:b/>
          <w:sz w:val="20"/>
          <w:szCs w:val="20"/>
        </w:rPr>
      </w:pPr>
      <w:r w:rsidRPr="003D4FE8">
        <w:rPr>
          <w:rFonts w:cstheme="minorHAnsi"/>
          <w:b/>
          <w:sz w:val="20"/>
          <w:szCs w:val="20"/>
        </w:rPr>
        <w:t>Physician / Prescriber Response</w:t>
      </w:r>
    </w:p>
    <w:p w14:paraId="1B00D864" w14:textId="77777777" w:rsidR="003D4FE8" w:rsidRPr="003D4FE8" w:rsidRDefault="003D4FE8" w:rsidP="003D4FE8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152559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F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FE8">
        <w:rPr>
          <w:rFonts w:cstheme="minorHAnsi"/>
          <w:sz w:val="20"/>
          <w:szCs w:val="20"/>
        </w:rPr>
        <w:t xml:space="preserve"> Antibiotic duration of therapy was </w:t>
      </w:r>
      <w:r w:rsidRPr="003D4FE8">
        <w:rPr>
          <w:rFonts w:cstheme="minorHAnsi"/>
          <w:color w:val="FF0000"/>
          <w:sz w:val="20"/>
          <w:szCs w:val="20"/>
        </w:rPr>
        <w:t xml:space="preserve">[longer / shorter] </w:t>
      </w:r>
      <w:r w:rsidRPr="003D4FE8">
        <w:rPr>
          <w:rFonts w:cstheme="minorHAnsi"/>
          <w:sz w:val="20"/>
          <w:szCs w:val="20"/>
        </w:rPr>
        <w:t xml:space="preserve">than recommended due to [please provide reason below]: </w:t>
      </w:r>
      <w:r w:rsidRPr="003D4FE8">
        <w:rPr>
          <w:rFonts w:cstheme="minorHAnsi"/>
          <w:sz w:val="20"/>
          <w:szCs w:val="20"/>
        </w:rPr>
        <w:br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</w:p>
    <w:p w14:paraId="0A7A3A64" w14:textId="77777777" w:rsidR="003D4FE8" w:rsidRPr="003D4FE8" w:rsidRDefault="003D4FE8" w:rsidP="003D4FE8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r w:rsidRPr="003D4FE8">
        <w:rPr>
          <w:rFonts w:cstheme="minorHAnsi"/>
          <w:sz w:val="20"/>
          <w:szCs w:val="20"/>
        </w:rPr>
        <w:t xml:space="preserve">Signature: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</w:rPr>
        <w:t xml:space="preserve"> Date: </w:t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  <w:r w:rsidRPr="003D4FE8">
        <w:rPr>
          <w:rFonts w:cstheme="minorHAnsi"/>
          <w:sz w:val="20"/>
          <w:szCs w:val="20"/>
          <w:u w:val="single"/>
        </w:rPr>
        <w:tab/>
      </w:r>
    </w:p>
    <w:p w14:paraId="0E1EBB70" w14:textId="77777777" w:rsidR="003D4FE8" w:rsidRPr="003D4FE8" w:rsidRDefault="003D4FE8" w:rsidP="003D4FE8">
      <w:pPr>
        <w:pBdr>
          <w:top w:val="single" w:sz="4" w:space="1" w:color="auto"/>
        </w:pBdr>
        <w:spacing w:after="12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Reference </w:t>
      </w:r>
      <w:r w:rsidRPr="003D4FE8">
        <w:rPr>
          <w:rFonts w:cstheme="minorHAnsi"/>
          <w:color w:val="0070C0"/>
          <w:sz w:val="20"/>
          <w:szCs w:val="20"/>
        </w:rPr>
        <w:t>(depends on which syndrome was selected)</w:t>
      </w:r>
      <w:r w:rsidRPr="003D4FE8">
        <w:rPr>
          <w:rFonts w:cstheme="minorHAnsi"/>
          <w:sz w:val="20"/>
          <w:szCs w:val="20"/>
        </w:rPr>
        <w:t>:</w:t>
      </w:r>
    </w:p>
    <w:p w14:paraId="4C097880" w14:textId="77777777" w:rsidR="003D4FE8" w:rsidRPr="003D4FE8" w:rsidRDefault="003D4FE8" w:rsidP="003D4FE8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3D4FE8">
        <w:rPr>
          <w:rFonts w:cstheme="minorHAnsi"/>
          <w:b/>
          <w:sz w:val="20"/>
          <w:szCs w:val="20"/>
        </w:rPr>
        <w:t>For uncomplicated cystitis or pyelonephritis:</w:t>
      </w:r>
    </w:p>
    <w:p w14:paraId="2260A4E9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Gupta K, </w:t>
      </w:r>
      <w:r w:rsidRPr="003D4FE8">
        <w:rPr>
          <w:rFonts w:cstheme="minorHAnsi"/>
          <w:i/>
          <w:sz w:val="20"/>
          <w:szCs w:val="20"/>
        </w:rPr>
        <w:t>et al</w:t>
      </w:r>
      <w:r w:rsidRPr="003D4FE8">
        <w:rPr>
          <w:rFonts w:cstheme="minorHAnsi"/>
          <w:sz w:val="20"/>
          <w:szCs w:val="20"/>
        </w:rPr>
        <w:t>. International Clinical Practice Guidelines for the Treatment of Acute Uncomplicated Cystitis and Pyelonephritis in Women: A 2010 Update by the Infectious Diseases Society of America and the European Society for Microbiology and Infectious Diseases. Clin Infect Dis 2011;52:e103-20.</w:t>
      </w:r>
    </w:p>
    <w:p w14:paraId="70A3536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44C2E78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  <w:u w:val="single"/>
        </w:rPr>
        <w:t xml:space="preserve">Uncomplicated Cystitis </w:t>
      </w:r>
      <w:r w:rsidRPr="003D4FE8">
        <w:rPr>
          <w:rFonts w:cstheme="minorHAnsi"/>
          <w:color w:val="0070C0"/>
          <w:sz w:val="20"/>
          <w:szCs w:val="20"/>
        </w:rPr>
        <w:t>(specific reference on duration should appear based on antibiotic used)</w:t>
      </w:r>
    </w:p>
    <w:p w14:paraId="043871D2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>Nitrofurantoin</w:t>
      </w:r>
      <w:r w:rsidRPr="003D4FE8">
        <w:rPr>
          <w:rFonts w:cstheme="minorHAnsi"/>
          <w:sz w:val="20"/>
          <w:szCs w:val="20"/>
        </w:rPr>
        <w:t>: “Nitrofurantoin monohydrate/</w:t>
      </w:r>
      <w:proofErr w:type="spellStart"/>
      <w:r w:rsidRPr="003D4FE8">
        <w:rPr>
          <w:rFonts w:cstheme="minorHAnsi"/>
          <w:sz w:val="20"/>
          <w:szCs w:val="20"/>
        </w:rPr>
        <w:t>macrocrystals</w:t>
      </w:r>
      <w:proofErr w:type="spellEnd"/>
      <w:r w:rsidRPr="003D4FE8">
        <w:rPr>
          <w:rFonts w:cstheme="minorHAnsi"/>
          <w:sz w:val="20"/>
          <w:szCs w:val="20"/>
        </w:rPr>
        <w:t xml:space="preserve"> (100 mg twice daily for 5 days) is an appropriate choice for therapy…” (p. e105)</w:t>
      </w:r>
    </w:p>
    <w:p w14:paraId="047347FB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559D0E9F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>TMP/SMX</w:t>
      </w:r>
      <w:r w:rsidRPr="003D4FE8">
        <w:rPr>
          <w:rFonts w:cstheme="minorHAnsi"/>
          <w:sz w:val="20"/>
          <w:szCs w:val="20"/>
        </w:rPr>
        <w:t>: “Trimethoprim-sulfamethoxazole (160/800 mg [1 double-strength table] twice-daily for 3 days) is an appropriate choice for therapy…” (p. e105)</w:t>
      </w:r>
    </w:p>
    <w:p w14:paraId="0546CA9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07D61098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>Fosfomycin</w:t>
      </w:r>
      <w:r w:rsidRPr="003D4FE8">
        <w:rPr>
          <w:rFonts w:cstheme="minorHAnsi"/>
          <w:sz w:val="20"/>
          <w:szCs w:val="20"/>
        </w:rPr>
        <w:t>: “Fosfomycin tromethamine (3g in a single dose) is an appropriate choice for therapy…” (p. e105)</w:t>
      </w:r>
    </w:p>
    <w:p w14:paraId="3A474A9F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5C068077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>Fluoroquinolones:</w:t>
      </w:r>
      <w:r w:rsidRPr="003D4FE8">
        <w:rPr>
          <w:rFonts w:cstheme="minorHAnsi"/>
          <w:sz w:val="20"/>
          <w:szCs w:val="20"/>
        </w:rPr>
        <w:t xml:space="preserve"> “The fluoroquinolones, ofloxacin, ciprofloxacin, and levofloxacin, are highly efficacious in 3-day regimens but have a propensity for collateral damage and should be reserved for important uses other than acute cystitis and thus should be considered alternative antimicrobials for acute cystitis.” (p. e105)</w:t>
      </w:r>
    </w:p>
    <w:p w14:paraId="007B32BF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115670E1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 xml:space="preserve">Beta-lactams: </w:t>
      </w:r>
      <w:r w:rsidRPr="003D4FE8">
        <w:rPr>
          <w:rFonts w:cstheme="minorHAnsi"/>
          <w:sz w:val="20"/>
          <w:szCs w:val="20"/>
        </w:rPr>
        <w:t xml:space="preserve">“Beta-lactam agents, including amoxicillin-clavulanate, cefdinir, cefaclor, and </w:t>
      </w:r>
      <w:proofErr w:type="spellStart"/>
      <w:r w:rsidRPr="003D4FE8">
        <w:rPr>
          <w:rFonts w:cstheme="minorHAnsi"/>
          <w:sz w:val="20"/>
          <w:szCs w:val="20"/>
        </w:rPr>
        <w:t>cepodoxime-proxetil</w:t>
      </w:r>
      <w:proofErr w:type="spellEnd"/>
      <w:r w:rsidRPr="003D4FE8">
        <w:rPr>
          <w:rFonts w:cstheme="minorHAnsi"/>
          <w:sz w:val="20"/>
          <w:szCs w:val="20"/>
        </w:rPr>
        <w:t xml:space="preserve"> , in </w:t>
      </w:r>
      <w:proofErr w:type="gramStart"/>
      <w:r w:rsidRPr="003D4FE8">
        <w:rPr>
          <w:rFonts w:cstheme="minorHAnsi"/>
          <w:sz w:val="20"/>
          <w:szCs w:val="20"/>
        </w:rPr>
        <w:t>3-7 day</w:t>
      </w:r>
      <w:proofErr w:type="gramEnd"/>
      <w:r w:rsidRPr="003D4FE8">
        <w:rPr>
          <w:rFonts w:cstheme="minorHAnsi"/>
          <w:sz w:val="20"/>
          <w:szCs w:val="20"/>
        </w:rPr>
        <w:t xml:space="preserve"> regimens are appropriate choices for therapy…” (p. e105)</w:t>
      </w:r>
    </w:p>
    <w:p w14:paraId="3C3510A7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5ACC9C6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  <w:u w:val="single"/>
        </w:rPr>
        <w:t xml:space="preserve">Pyelonephritis </w:t>
      </w:r>
      <w:r w:rsidRPr="003D4FE8">
        <w:rPr>
          <w:rFonts w:cstheme="minorHAnsi"/>
          <w:color w:val="0070C0"/>
          <w:sz w:val="20"/>
          <w:szCs w:val="20"/>
        </w:rPr>
        <w:t>(specific reference on duration should appear based on antibiotic used)</w:t>
      </w:r>
    </w:p>
    <w:p w14:paraId="76986FA8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lastRenderedPageBreak/>
        <w:t xml:space="preserve">Fluoroquinolones: </w:t>
      </w:r>
      <w:r w:rsidRPr="003D4FE8">
        <w:rPr>
          <w:rFonts w:cstheme="minorHAnsi"/>
          <w:sz w:val="20"/>
          <w:szCs w:val="20"/>
        </w:rPr>
        <w:t xml:space="preserve">“Oral ciprofloxacin (500 mg twice daily) for 7 days or levofloxacin (750 mg for 5 days) … is an appropriate choice for therapy …where the prevalence of resistance of community </w:t>
      </w:r>
      <w:proofErr w:type="spellStart"/>
      <w:r w:rsidRPr="003D4FE8">
        <w:rPr>
          <w:rFonts w:cstheme="minorHAnsi"/>
          <w:sz w:val="20"/>
          <w:szCs w:val="20"/>
        </w:rPr>
        <w:t>uropathogens</w:t>
      </w:r>
      <w:proofErr w:type="spellEnd"/>
      <w:r w:rsidRPr="003D4FE8">
        <w:rPr>
          <w:rFonts w:cstheme="minorHAnsi"/>
          <w:sz w:val="20"/>
          <w:szCs w:val="20"/>
        </w:rPr>
        <w:t xml:space="preserve"> to fluoroquinolones is not known to exceed 10%.” (p. e105)</w:t>
      </w:r>
    </w:p>
    <w:p w14:paraId="51007D3C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1AD154B8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 xml:space="preserve">TMP/SMX: </w:t>
      </w:r>
      <w:r w:rsidRPr="003D4FE8">
        <w:rPr>
          <w:rFonts w:cstheme="minorHAnsi"/>
          <w:sz w:val="20"/>
          <w:szCs w:val="20"/>
        </w:rPr>
        <w:t>“Oral trimethoprim-sulfamethoxazole (160/800 mg [1 double-strength tablet] twice-daily for 14 days) is an appropriate choice for therapy…” (p. e105)</w:t>
      </w:r>
    </w:p>
    <w:p w14:paraId="6BABDC3A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3B2C7E8D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i/>
          <w:sz w:val="20"/>
          <w:szCs w:val="20"/>
        </w:rPr>
        <w:t>Oral beta-lactams</w:t>
      </w:r>
      <w:r w:rsidRPr="003D4FE8">
        <w:rPr>
          <w:rFonts w:cstheme="minorHAnsi"/>
          <w:sz w:val="20"/>
          <w:szCs w:val="20"/>
        </w:rPr>
        <w:t>: “…guideline recommendation for a duration of therapy of 10-14 days for treatment of pyelonephritis with a beta-lactam agent.” (p. e105)</w:t>
      </w:r>
    </w:p>
    <w:p w14:paraId="34FFCD3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546FFF88" w14:textId="77777777" w:rsidR="003D4FE8" w:rsidRPr="003D4FE8" w:rsidRDefault="003D4FE8" w:rsidP="003D4FE8">
      <w:pPr>
        <w:spacing w:after="0" w:line="240" w:lineRule="auto"/>
        <w:rPr>
          <w:rFonts w:cstheme="minorHAnsi"/>
          <w:b/>
          <w:sz w:val="20"/>
          <w:szCs w:val="20"/>
        </w:rPr>
      </w:pPr>
      <w:r w:rsidRPr="003D4FE8">
        <w:rPr>
          <w:rFonts w:cstheme="minorHAnsi"/>
          <w:b/>
          <w:sz w:val="20"/>
          <w:szCs w:val="20"/>
        </w:rPr>
        <w:t>For catheter-associated UTI:</w:t>
      </w:r>
    </w:p>
    <w:p w14:paraId="67AAF4B9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Hooton TM, </w:t>
      </w:r>
      <w:r w:rsidRPr="003D4FE8">
        <w:rPr>
          <w:rFonts w:cstheme="minorHAnsi"/>
          <w:i/>
          <w:sz w:val="20"/>
          <w:szCs w:val="20"/>
        </w:rPr>
        <w:t>et al</w:t>
      </w:r>
      <w:r w:rsidRPr="003D4FE8">
        <w:rPr>
          <w:rFonts w:cstheme="minorHAnsi"/>
          <w:sz w:val="20"/>
          <w:szCs w:val="20"/>
        </w:rPr>
        <w:t>. Diagnosis, Prevention, and Treatment of Catheter-Associated Urinary Tract Infection in Adults: 2009 International Clinical Practice Guidelines from the Infectious Diseases Society of America. Clin Infect Dis 2010;50:625-63.</w:t>
      </w:r>
    </w:p>
    <w:p w14:paraId="247B41C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2796A68A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>“Seven days is the recommended duration of antimicrobial treatment for patients with CA-UTI who have prompt resolution of symptoms, and 10-14 days of treatment is recommended for those with delayed response, regardless of whether the patient remains catheterized or not.” (p. 629)</w:t>
      </w:r>
    </w:p>
    <w:p w14:paraId="597FC7A9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161B7BD5" w14:textId="77777777" w:rsidR="003D4FE8" w:rsidRPr="003D4FE8" w:rsidRDefault="003D4FE8" w:rsidP="003D4FE8">
      <w:pPr>
        <w:spacing w:after="0" w:line="240" w:lineRule="auto"/>
        <w:rPr>
          <w:rFonts w:cstheme="minorHAnsi"/>
          <w:b/>
          <w:sz w:val="20"/>
          <w:szCs w:val="20"/>
        </w:rPr>
      </w:pPr>
      <w:r w:rsidRPr="003D4FE8">
        <w:rPr>
          <w:rFonts w:cstheme="minorHAnsi"/>
          <w:b/>
          <w:sz w:val="20"/>
          <w:szCs w:val="20"/>
        </w:rPr>
        <w:t>For complicated UTI including cystitis in men:</w:t>
      </w:r>
    </w:p>
    <w:p w14:paraId="376A6143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Infectious Diseases Society of America do not have specific guidelines for treatment of complicated </w:t>
      </w:r>
      <w:proofErr w:type="gramStart"/>
      <w:r w:rsidRPr="003D4FE8">
        <w:rPr>
          <w:rFonts w:cstheme="minorHAnsi"/>
          <w:sz w:val="20"/>
          <w:szCs w:val="20"/>
        </w:rPr>
        <w:t>UTI</w:t>
      </w:r>
      <w:proofErr w:type="gramEnd"/>
      <w:r w:rsidRPr="003D4FE8">
        <w:rPr>
          <w:rFonts w:cstheme="minorHAnsi"/>
          <w:sz w:val="20"/>
          <w:szCs w:val="20"/>
        </w:rPr>
        <w:t xml:space="preserve"> but they do have guidelines on UTI treatment for patients with indwelling </w:t>
      </w:r>
      <w:proofErr w:type="spellStart"/>
      <w:r w:rsidRPr="003D4FE8">
        <w:rPr>
          <w:rFonts w:cstheme="minorHAnsi"/>
          <w:sz w:val="20"/>
          <w:szCs w:val="20"/>
        </w:rPr>
        <w:t>cathter</w:t>
      </w:r>
      <w:proofErr w:type="spellEnd"/>
      <w:r w:rsidRPr="003D4FE8">
        <w:rPr>
          <w:rFonts w:cstheme="minorHAnsi"/>
          <w:sz w:val="20"/>
          <w:szCs w:val="20"/>
        </w:rPr>
        <w:t xml:space="preserve"> which falls under the category of complicated UTI.  The citation for this guideline is listed below:</w:t>
      </w:r>
    </w:p>
    <w:p w14:paraId="07221ABD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42687E81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Hooton TM, </w:t>
      </w:r>
      <w:r w:rsidRPr="003D4FE8">
        <w:rPr>
          <w:rFonts w:cstheme="minorHAnsi"/>
          <w:i/>
          <w:sz w:val="20"/>
          <w:szCs w:val="20"/>
        </w:rPr>
        <w:t>et al</w:t>
      </w:r>
      <w:r w:rsidRPr="003D4FE8">
        <w:rPr>
          <w:rFonts w:cstheme="minorHAnsi"/>
          <w:sz w:val="20"/>
          <w:szCs w:val="20"/>
        </w:rPr>
        <w:t>. Diagnosis, Prevention, and Treatment of Catheter-Associated Urinary Tract Infection in Adults: 2009 International Clinical Practice Guidelines from the Infectious Diseases Society of America. Clin Infect Dis 2010;50:625-63.</w:t>
      </w:r>
    </w:p>
    <w:p w14:paraId="3DC9FD65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090AE010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>“Seven days is the recommended duration of antimicrobial treatment for patients with CA-UTI who have prompt resolution of symptoms, and 10-14 days of treatment is recommended for those with delayed response, regardless of whether the patient remains catheterized or not.” (p. 629)</w:t>
      </w:r>
    </w:p>
    <w:p w14:paraId="01428D86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713BFAA2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250B1875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>Additionally, in a study published in 2013 (cited below), no benefit was noticed for more than 7 days of UTI treatment when evaluating male veterans who were treated for UTI in the clinic.</w:t>
      </w:r>
    </w:p>
    <w:p w14:paraId="35B60C68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2406CBB2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D4FE8">
        <w:rPr>
          <w:rFonts w:cstheme="minorHAnsi"/>
          <w:sz w:val="20"/>
          <w:szCs w:val="20"/>
        </w:rPr>
        <w:t>Drekonja</w:t>
      </w:r>
      <w:proofErr w:type="spellEnd"/>
      <w:r w:rsidRPr="003D4FE8">
        <w:rPr>
          <w:rFonts w:cstheme="minorHAnsi"/>
          <w:sz w:val="20"/>
          <w:szCs w:val="20"/>
        </w:rPr>
        <w:t xml:space="preserve"> DM, Rector TS, Cutting A, Johnson JR. Urinary tract infection in male veterans: treatment patterns and outcomes.  JAMA Intern Med 2013;173:62-8.</w:t>
      </w:r>
    </w:p>
    <w:p w14:paraId="33C1444E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</w:p>
    <w:p w14:paraId="1866399B" w14:textId="77777777" w:rsidR="003D4FE8" w:rsidRPr="003D4FE8" w:rsidRDefault="003D4FE8" w:rsidP="003D4FE8">
      <w:pPr>
        <w:spacing w:after="0" w:line="240" w:lineRule="auto"/>
        <w:rPr>
          <w:rFonts w:cstheme="minorHAnsi"/>
          <w:sz w:val="20"/>
          <w:szCs w:val="20"/>
        </w:rPr>
      </w:pPr>
      <w:r w:rsidRPr="003D4FE8">
        <w:rPr>
          <w:rFonts w:cstheme="minorHAnsi"/>
          <w:sz w:val="20"/>
          <w:szCs w:val="20"/>
        </w:rPr>
        <w:t xml:space="preserve">“…compared with short-duration treatment (≤7 days), longer-duration treatment (&gt;7 days) exhibited no association with a reduced risk for early or late recurrence” (p. 66) </w:t>
      </w:r>
    </w:p>
    <w:p w14:paraId="24BCBDE9" w14:textId="77777777" w:rsidR="003D4FE8" w:rsidRPr="003D4FE8" w:rsidRDefault="003D4FE8" w:rsidP="003D4FE8">
      <w:pPr>
        <w:jc w:val="center"/>
        <w:rPr>
          <w:rFonts w:cstheme="minorHAnsi"/>
          <w:sz w:val="28"/>
          <w:szCs w:val="28"/>
          <w:u w:val="single"/>
        </w:rPr>
      </w:pPr>
    </w:p>
    <w:p w14:paraId="2E301D89" w14:textId="77777777" w:rsidR="0087130E" w:rsidRPr="003D4FE8" w:rsidRDefault="0087130E">
      <w:pPr>
        <w:rPr>
          <w:rFonts w:cstheme="minorHAnsi"/>
        </w:rPr>
      </w:pPr>
    </w:p>
    <w:sectPr w:rsidR="0087130E" w:rsidRPr="003D4FE8" w:rsidSect="001235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1A7D" w14:textId="77777777" w:rsidR="003D4FE8" w:rsidRDefault="003D4FE8" w:rsidP="003D4FE8">
      <w:pPr>
        <w:spacing w:after="0" w:line="240" w:lineRule="auto"/>
      </w:pPr>
      <w:r>
        <w:separator/>
      </w:r>
    </w:p>
  </w:endnote>
  <w:endnote w:type="continuationSeparator" w:id="0">
    <w:p w14:paraId="0B3FF73D" w14:textId="77777777" w:rsidR="003D4FE8" w:rsidRDefault="003D4FE8" w:rsidP="003D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757B" w14:textId="77777777" w:rsidR="003D4FE8" w:rsidRDefault="003D4FE8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AF4" w14:textId="77777777" w:rsidR="003D4FE8" w:rsidRDefault="003D4F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B221D" wp14:editId="282882C9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B692" w14:textId="77777777" w:rsidR="003D4FE8" w:rsidRPr="00C61679" w:rsidRDefault="003D4FE8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Nebraska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0BEEB105" w14:textId="77777777" w:rsidR="003D4FE8" w:rsidRPr="0098642B" w:rsidRDefault="003D4FE8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5F09C636" w14:textId="77777777" w:rsidR="003D4FE8" w:rsidRPr="00C61679" w:rsidRDefault="003D4FE8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Nebraska ASAP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funded by the Nebraska DHHS HAI/AR Program through a CDC grant.</w:t>
                          </w:r>
                        </w:p>
                        <w:p w14:paraId="1505E4B4" w14:textId="77777777" w:rsidR="003D4FE8" w:rsidRPr="00C61679" w:rsidRDefault="003D4FE8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B22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073EB692" w14:textId="77777777" w:rsidR="003D4FE8" w:rsidRPr="00C61679" w:rsidRDefault="003D4FE8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0BEEB105" w14:textId="77777777" w:rsidR="003D4FE8" w:rsidRPr="0098642B" w:rsidRDefault="003D4FE8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5F09C636" w14:textId="77777777" w:rsidR="003D4FE8" w:rsidRPr="00C61679" w:rsidRDefault="003D4FE8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1505E4B4" w14:textId="77777777" w:rsidR="003D4FE8" w:rsidRPr="00C61679" w:rsidRDefault="003D4FE8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9C49" w14:textId="77777777" w:rsidR="003D4FE8" w:rsidRDefault="003D4FE8" w:rsidP="003D4FE8">
      <w:pPr>
        <w:spacing w:after="0" w:line="240" w:lineRule="auto"/>
      </w:pPr>
      <w:r>
        <w:separator/>
      </w:r>
    </w:p>
  </w:footnote>
  <w:footnote w:type="continuationSeparator" w:id="0">
    <w:p w14:paraId="059690AC" w14:textId="77777777" w:rsidR="003D4FE8" w:rsidRDefault="003D4FE8" w:rsidP="003D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5515" w14:textId="77777777" w:rsidR="003D4FE8" w:rsidRDefault="003D4FE8" w:rsidP="0014401E">
    <w:pPr>
      <w:pStyle w:val="Header"/>
      <w:ind w:hanging="1080"/>
      <w:jc w:val="both"/>
    </w:pPr>
  </w:p>
  <w:p w14:paraId="662AEF14" w14:textId="77777777" w:rsidR="003D4FE8" w:rsidRDefault="003D4FE8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61BDDFD3" wp14:editId="4C4097F7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2B40D" w14:textId="4A712C73" w:rsidR="003D4FE8" w:rsidRPr="003D4FE8" w:rsidRDefault="003D4FE8" w:rsidP="003D4FE8">
    <w:pPr>
      <w:pStyle w:val="Header"/>
      <w:jc w:val="center"/>
      <w:rPr>
        <w:sz w:val="8"/>
        <w:szCs w:val="8"/>
      </w:rPr>
    </w:pPr>
    <w:r w:rsidRPr="003D4FE8">
      <w:rPr>
        <w:sz w:val="20"/>
        <w:szCs w:val="20"/>
      </w:rPr>
      <w:t>Therapy completed, UTI duration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DB02" w14:textId="77777777" w:rsidR="003D4FE8" w:rsidRDefault="003D4FE8" w:rsidP="0098642B">
    <w:pPr>
      <w:pStyle w:val="Header"/>
    </w:pPr>
  </w:p>
  <w:p w14:paraId="7B9091D2" w14:textId="77777777" w:rsidR="003D4FE8" w:rsidRDefault="003D4FE8" w:rsidP="00401A26">
    <w:pPr>
      <w:pStyle w:val="Header"/>
      <w:tabs>
        <w:tab w:val="left" w:pos="8037"/>
      </w:tabs>
    </w:pPr>
    <w:r>
      <w:rPr>
        <w:noProof/>
      </w:rPr>
      <w:drawing>
        <wp:inline distT="0" distB="0" distL="0" distR="0" wp14:anchorId="6512B14D" wp14:editId="1928B742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891"/>
    <w:multiLevelType w:val="hybridMultilevel"/>
    <w:tmpl w:val="5A46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15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8"/>
    <w:rsid w:val="003D4FE8"/>
    <w:rsid w:val="00512E5D"/>
    <w:rsid w:val="00636DF7"/>
    <w:rsid w:val="0087130E"/>
    <w:rsid w:val="00B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0EFC"/>
  <w15:chartTrackingRefBased/>
  <w15:docId w15:val="{825F0CE0-C1D6-49C6-91A7-E09E46D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E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E8"/>
    <w:rPr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3D4F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BCE86-B978-4C38-B86E-E4715C76851A}"/>
</file>

<file path=customXml/itemProps2.xml><?xml version="1.0" encoding="utf-8"?>
<ds:datastoreItem xmlns:ds="http://schemas.openxmlformats.org/officeDocument/2006/customXml" ds:itemID="{47629D5C-D9AA-4300-847D-76BF549671A2}"/>
</file>

<file path=customXml/itemProps3.xml><?xml version="1.0" encoding="utf-8"?>
<ds:datastoreItem xmlns:ds="http://schemas.openxmlformats.org/officeDocument/2006/customXml" ds:itemID="{4D9B1A87-96E7-443A-9120-A1D595FA6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>UNMC-NMC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1</cp:revision>
  <dcterms:created xsi:type="dcterms:W3CDTF">2023-10-31T02:44:00Z</dcterms:created>
  <dcterms:modified xsi:type="dcterms:W3CDTF">2023-10-31T02:46:00Z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</Properties>
</file>