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40568" w14:textId="77777777" w:rsidR="00292FD0" w:rsidRPr="00292FD0" w:rsidRDefault="00292FD0" w:rsidP="00292FD0">
      <w:pPr>
        <w:spacing w:after="0" w:line="240" w:lineRule="auto"/>
        <w:jc w:val="center"/>
        <w:rPr>
          <w:b/>
          <w:bCs/>
          <w:color w:val="006666"/>
          <w:sz w:val="16"/>
          <w:szCs w:val="16"/>
        </w:rPr>
      </w:pPr>
    </w:p>
    <w:p w14:paraId="54832DB4" w14:textId="1DB837DE" w:rsidR="00292FD0" w:rsidRPr="00292FD0" w:rsidRDefault="00292FD0" w:rsidP="00BC29F6">
      <w:pPr>
        <w:spacing w:after="120"/>
        <w:jc w:val="center"/>
        <w:rPr>
          <w:b/>
          <w:bCs/>
          <w:color w:val="006666"/>
          <w:sz w:val="32"/>
          <w:szCs w:val="32"/>
        </w:rPr>
      </w:pPr>
      <w:r w:rsidRPr="00292FD0">
        <w:rPr>
          <w:b/>
          <w:bCs/>
          <w:color w:val="006666"/>
          <w:sz w:val="32"/>
          <w:szCs w:val="32"/>
        </w:rPr>
        <w:t>Direct Oral Penicillin Challenge</w:t>
      </w:r>
    </w:p>
    <w:p w14:paraId="4AE7F576" w14:textId="0B7B3D5A" w:rsidR="00292FD0" w:rsidRDefault="009F448E" w:rsidP="00292FD0">
      <w:pPr>
        <w:pStyle w:val="ListParagraph"/>
        <w:numPr>
          <w:ilvl w:val="0"/>
          <w:numId w:val="4"/>
        </w:numPr>
        <w:spacing w:after="120" w:line="240" w:lineRule="auto"/>
      </w:pPr>
      <w:r w:rsidRPr="009F448E">
        <w:t>The patient's penicillin allergy should be evaluated using the</w:t>
      </w:r>
      <w:r w:rsidR="00504AE9">
        <w:t xml:space="preserve"> </w:t>
      </w:r>
      <w:hyperlink r:id="rId10">
        <w:r w:rsidR="00504AE9" w:rsidRPr="4CF7EB43">
          <w:rPr>
            <w:rStyle w:val="Hyperlink"/>
          </w:rPr>
          <w:t>Penicillin Allergy Decision Rule (PEN-FAST)</w:t>
        </w:r>
      </w:hyperlink>
      <w:r w:rsidR="00DA4110">
        <w:t xml:space="preserve"> tool</w:t>
      </w:r>
      <w:r w:rsidRPr="009F448E">
        <w:t>. If the PEN-FAST score is &lt;3, they are considered to have low-risk of true penicillin allergy and an oral challenge with amoxicillin can be implemented</w:t>
      </w:r>
      <w:r w:rsidR="00504AE9">
        <w:t xml:space="preserve">. </w:t>
      </w:r>
      <w:r w:rsidR="00292FD0">
        <w:t>Note: Amoxicillin has been used over 90% of the time in studies that evaluate penicillin allergy</w:t>
      </w:r>
      <w:r w:rsidR="00F832CD">
        <w:t>, but penicillin can be used</w:t>
      </w:r>
      <w:r w:rsidR="00A3042D">
        <w:t xml:space="preserve">. </w:t>
      </w:r>
      <w:r w:rsidR="00292FD0">
        <w:t xml:space="preserve">Tablets, capsules, or oral suspension may be used, but oral suspension will result in the fastest absorption. </w:t>
      </w:r>
      <w:r w:rsidR="00740D51">
        <w:t xml:space="preserve">The dosing recommendations below are for </w:t>
      </w:r>
      <w:r w:rsidR="00740D51" w:rsidRPr="4CF7EB43">
        <w:rPr>
          <w:b/>
          <w:bCs/>
        </w:rPr>
        <w:t>adult</w:t>
      </w:r>
      <w:r w:rsidR="00740D51">
        <w:t xml:space="preserve"> patients. </w:t>
      </w:r>
    </w:p>
    <w:p w14:paraId="5FBD0CBE" w14:textId="77777777" w:rsidR="00292FD0" w:rsidRPr="00292FD0" w:rsidRDefault="00292FD0" w:rsidP="00292FD0">
      <w:pPr>
        <w:pStyle w:val="ListParagraph"/>
        <w:spacing w:after="120" w:line="240" w:lineRule="auto"/>
      </w:pPr>
    </w:p>
    <w:p w14:paraId="3BCCC545" w14:textId="0B485CD3" w:rsidR="00292FD0" w:rsidRPr="00292FD0" w:rsidRDefault="00292FD0" w:rsidP="00292FD0">
      <w:pPr>
        <w:pStyle w:val="ListParagraph"/>
        <w:numPr>
          <w:ilvl w:val="0"/>
          <w:numId w:val="4"/>
        </w:numPr>
        <w:spacing w:before="120" w:after="0" w:line="240" w:lineRule="auto"/>
      </w:pPr>
      <w:r w:rsidRPr="003E4D30">
        <w:rPr>
          <w:b/>
          <w:bCs/>
        </w:rPr>
        <w:t>For a 1-step challenge</w:t>
      </w:r>
      <w:r w:rsidRPr="00292FD0">
        <w:t xml:space="preserve"> (most patients), use a full dose and observe 30-60 minutes. </w:t>
      </w:r>
    </w:p>
    <w:p w14:paraId="2FACB4ED" w14:textId="5C02661C" w:rsidR="00292FD0" w:rsidRPr="00292FD0" w:rsidRDefault="00292FD0" w:rsidP="00E723C5">
      <w:pPr>
        <w:pStyle w:val="ListParagraph"/>
        <w:numPr>
          <w:ilvl w:val="0"/>
          <w:numId w:val="7"/>
        </w:numPr>
      </w:pPr>
      <w:r w:rsidRPr="00292FD0">
        <w:t>Amoxicillin 250-500 mg</w:t>
      </w:r>
      <w:r w:rsidR="00AC1688">
        <w:t xml:space="preserve"> capsule</w:t>
      </w:r>
      <w:r w:rsidR="006A7E1B">
        <w:t>/suspension</w:t>
      </w:r>
      <w:r w:rsidRPr="00292FD0">
        <w:t xml:space="preserve"> </w:t>
      </w:r>
      <w:r w:rsidRPr="00E723C5">
        <w:rPr>
          <w:b/>
          <w:bCs/>
        </w:rPr>
        <w:t>OR:</w:t>
      </w:r>
      <w:r w:rsidRPr="00292FD0">
        <w:t xml:space="preserve"> Penicillin VK 250-500 mg </w:t>
      </w:r>
      <w:r w:rsidR="006F1B9B">
        <w:t>tablet</w:t>
      </w:r>
      <w:r w:rsidR="006A7E1B">
        <w:t>/suspension</w:t>
      </w:r>
    </w:p>
    <w:p w14:paraId="154728EE" w14:textId="77777777" w:rsidR="00292FD0" w:rsidRPr="00292FD0" w:rsidRDefault="00292FD0" w:rsidP="00292FD0">
      <w:pPr>
        <w:spacing w:after="0" w:line="240" w:lineRule="auto"/>
        <w:ind w:firstLine="720"/>
      </w:pPr>
      <w:r w:rsidRPr="003E4D30">
        <w:rPr>
          <w:b/>
          <w:bCs/>
        </w:rPr>
        <w:t>For a 2-step challenge</w:t>
      </w:r>
      <w:r w:rsidRPr="00292FD0">
        <w:t xml:space="preserve"> (consider if patient has significant co-morbidities such as asthma),</w:t>
      </w:r>
    </w:p>
    <w:p w14:paraId="1B624CE0" w14:textId="77777777" w:rsidR="00292FD0" w:rsidRPr="00292FD0" w:rsidRDefault="00292FD0" w:rsidP="00292FD0">
      <w:pPr>
        <w:pStyle w:val="ListParagraph"/>
        <w:numPr>
          <w:ilvl w:val="0"/>
          <w:numId w:val="2"/>
        </w:numPr>
      </w:pPr>
      <w:r w:rsidRPr="00A015B6">
        <w:rPr>
          <w:b/>
          <w:bCs/>
          <w:color w:val="006666"/>
        </w:rPr>
        <w:t>For step 1</w:t>
      </w:r>
      <w:r w:rsidRPr="00292FD0">
        <w:t>, use ¼ tab PO or 1/10 dose of suspension and observe 30 minutes.</w:t>
      </w:r>
    </w:p>
    <w:p w14:paraId="10FC963E" w14:textId="5CDD73FB" w:rsidR="006F1B9B" w:rsidRDefault="003B5A6D" w:rsidP="00292FD0">
      <w:pPr>
        <w:pStyle w:val="ListParagraph"/>
        <w:numPr>
          <w:ilvl w:val="1"/>
          <w:numId w:val="2"/>
        </w:numPr>
      </w:pPr>
      <w:r>
        <w:t xml:space="preserve">Amoxicillin 875 mg ¼ tab </w:t>
      </w:r>
      <w:r w:rsidRPr="003B5A6D">
        <w:rPr>
          <w:b/>
          <w:bCs/>
        </w:rPr>
        <w:t>OR:</w:t>
      </w:r>
      <w:r>
        <w:t xml:space="preserve"> </w:t>
      </w:r>
      <w:r w:rsidR="00292FD0" w:rsidRPr="00292FD0">
        <w:t xml:space="preserve">Amoxicillin 250 mg/5 mL suspension – give 50 mg (1 mL) </w:t>
      </w:r>
    </w:p>
    <w:p w14:paraId="628B7CF5" w14:textId="451C7ACD" w:rsidR="00292FD0" w:rsidRPr="00A015B6" w:rsidRDefault="00292FD0" w:rsidP="003E4D30">
      <w:pPr>
        <w:pStyle w:val="ListParagraph"/>
        <w:ind w:left="3240" w:firstLine="360"/>
        <w:rPr>
          <w:color w:val="006666"/>
        </w:rPr>
      </w:pPr>
      <w:r w:rsidRPr="00A015B6">
        <w:rPr>
          <w:b/>
          <w:bCs/>
          <w:color w:val="006666"/>
        </w:rPr>
        <w:t>OR:</w:t>
      </w:r>
    </w:p>
    <w:p w14:paraId="4C77CE94" w14:textId="2E55FBDB" w:rsidR="00292FD0" w:rsidRPr="00292FD0" w:rsidRDefault="00A015B6" w:rsidP="00292FD0">
      <w:pPr>
        <w:pStyle w:val="ListParagraph"/>
        <w:numPr>
          <w:ilvl w:val="1"/>
          <w:numId w:val="2"/>
        </w:numPr>
      </w:pPr>
      <w:r>
        <w:t xml:space="preserve">Penicillin 250 mg ¼ tab </w:t>
      </w:r>
      <w:r w:rsidRPr="00A015B6">
        <w:rPr>
          <w:b/>
          <w:bCs/>
        </w:rPr>
        <w:t xml:space="preserve">OR: </w:t>
      </w:r>
      <w:r w:rsidR="00292FD0" w:rsidRPr="00292FD0">
        <w:t xml:space="preserve">Penicillin 250 mg/5 mL suspension – give 50 mg (1 mL) </w:t>
      </w:r>
    </w:p>
    <w:p w14:paraId="4722027C" w14:textId="77777777" w:rsidR="00292FD0" w:rsidRPr="00292FD0" w:rsidRDefault="00292FD0" w:rsidP="00292FD0">
      <w:pPr>
        <w:pStyle w:val="ListParagraph"/>
        <w:numPr>
          <w:ilvl w:val="0"/>
          <w:numId w:val="2"/>
        </w:numPr>
      </w:pPr>
      <w:r w:rsidRPr="00A015B6">
        <w:rPr>
          <w:b/>
          <w:bCs/>
          <w:color w:val="006666"/>
        </w:rPr>
        <w:t>For step 2</w:t>
      </w:r>
      <w:r w:rsidRPr="00292FD0">
        <w:t xml:space="preserve">, use 1 tab or full dose of suspension and observe 60 minutes. </w:t>
      </w:r>
    </w:p>
    <w:p w14:paraId="2A46DD3C" w14:textId="77777777" w:rsidR="006F1B9B" w:rsidRDefault="00AC1688" w:rsidP="00292FD0">
      <w:pPr>
        <w:pStyle w:val="ListParagraph"/>
        <w:numPr>
          <w:ilvl w:val="1"/>
          <w:numId w:val="2"/>
        </w:numPr>
      </w:pPr>
      <w:r w:rsidRPr="00292FD0">
        <w:t>Amoxicillin 250-500 mg</w:t>
      </w:r>
      <w:r>
        <w:t xml:space="preserve"> </w:t>
      </w:r>
      <w:r w:rsidR="006F1B9B">
        <w:t xml:space="preserve">capsule </w:t>
      </w:r>
      <w:r w:rsidRPr="00AC1688">
        <w:rPr>
          <w:b/>
          <w:bCs/>
        </w:rPr>
        <w:t>OR:</w:t>
      </w:r>
      <w:r>
        <w:t xml:space="preserve"> </w:t>
      </w:r>
      <w:r w:rsidR="00292FD0" w:rsidRPr="00292FD0">
        <w:t xml:space="preserve">Amoxicillin 250 mg/5 mL suspension – give 450 mg (9 mL) </w:t>
      </w:r>
    </w:p>
    <w:p w14:paraId="41325F42" w14:textId="6DCB45EF" w:rsidR="00292FD0" w:rsidRPr="00A015B6" w:rsidRDefault="00292FD0" w:rsidP="003E4D30">
      <w:pPr>
        <w:pStyle w:val="ListParagraph"/>
        <w:ind w:left="5400" w:firstLine="360"/>
        <w:rPr>
          <w:color w:val="006666"/>
        </w:rPr>
      </w:pPr>
      <w:r w:rsidRPr="00A015B6">
        <w:rPr>
          <w:b/>
          <w:bCs/>
          <w:color w:val="006666"/>
        </w:rPr>
        <w:t>OR:</w:t>
      </w:r>
    </w:p>
    <w:p w14:paraId="4F61A688" w14:textId="43F96FDA" w:rsidR="00292FD0" w:rsidRPr="00292FD0" w:rsidRDefault="006F1B9B" w:rsidP="00CD31CC">
      <w:pPr>
        <w:pStyle w:val="ListParagraph"/>
        <w:numPr>
          <w:ilvl w:val="1"/>
          <w:numId w:val="2"/>
        </w:numPr>
        <w:contextualSpacing w:val="0"/>
      </w:pPr>
      <w:r w:rsidRPr="00292FD0">
        <w:t xml:space="preserve">Penicillin VK 250-500 mg </w:t>
      </w:r>
      <w:r>
        <w:t xml:space="preserve">tablet </w:t>
      </w:r>
      <w:r w:rsidRPr="006F1B9B">
        <w:rPr>
          <w:b/>
          <w:bCs/>
        </w:rPr>
        <w:t>OR:</w:t>
      </w:r>
      <w:r>
        <w:t xml:space="preserve"> </w:t>
      </w:r>
      <w:r w:rsidR="00292FD0" w:rsidRPr="00292FD0">
        <w:t xml:space="preserve">Penicillin 250 mg/5 mL suspension – give 450 mg (9 mL) </w:t>
      </w:r>
    </w:p>
    <w:p w14:paraId="540724E9" w14:textId="4F423B82" w:rsidR="00292FD0" w:rsidRDefault="00292FD0" w:rsidP="00F008E8">
      <w:pPr>
        <w:pStyle w:val="ListParagraph"/>
        <w:numPr>
          <w:ilvl w:val="0"/>
          <w:numId w:val="4"/>
        </w:numPr>
        <w:contextualSpacing w:val="0"/>
      </w:pPr>
      <w:r w:rsidRPr="00292FD0">
        <w:t>Vital signs and a physical exam should occur at the beginning of the challenge and at the end if there are no symptoms. Vitals when symptoms occur would be appropriate. Peak flow monitoring is not standard but can be utilized if the patient has a risk of respiratory symptoms during the challenge, like pre-existing asthma.</w:t>
      </w:r>
    </w:p>
    <w:tbl>
      <w:tblPr>
        <w:tblStyle w:val="TableGrid"/>
        <w:tblW w:w="0" w:type="auto"/>
        <w:tblInd w:w="625" w:type="dxa"/>
        <w:tblLook w:val="04A0" w:firstRow="1" w:lastRow="0" w:firstColumn="1" w:lastColumn="0" w:noHBand="0" w:noVBand="1"/>
      </w:tblPr>
      <w:tblGrid>
        <w:gridCol w:w="2070"/>
        <w:gridCol w:w="7920"/>
      </w:tblGrid>
      <w:tr w:rsidR="00FB089F" w14:paraId="6009E434" w14:textId="77777777" w:rsidTr="00F008E8">
        <w:tc>
          <w:tcPr>
            <w:tcW w:w="9990" w:type="dxa"/>
            <w:gridSpan w:val="2"/>
          </w:tcPr>
          <w:p w14:paraId="68C4C6C2" w14:textId="5DBBA4A1" w:rsidR="00FB089F" w:rsidRPr="00B35DB4" w:rsidRDefault="0005791E" w:rsidP="00CB2687">
            <w:pPr>
              <w:pStyle w:val="ListParagraph"/>
              <w:ind w:left="0"/>
              <w:jc w:val="center"/>
              <w:rPr>
                <w:b/>
                <w:bCs/>
              </w:rPr>
            </w:pPr>
            <w:r w:rsidRPr="00B35DB4">
              <w:rPr>
                <w:b/>
                <w:bCs/>
              </w:rPr>
              <w:t xml:space="preserve">American </w:t>
            </w:r>
            <w:r w:rsidR="00B5206F" w:rsidRPr="00B35DB4">
              <w:rPr>
                <w:b/>
                <w:bCs/>
              </w:rPr>
              <w:t>Academy of Allergy, Asthma</w:t>
            </w:r>
            <w:r w:rsidR="00B35DB4" w:rsidRPr="00B35DB4">
              <w:rPr>
                <w:b/>
                <w:bCs/>
              </w:rPr>
              <w:t xml:space="preserve"> &amp; Immunology Drug Allergy Practice Parameter </w:t>
            </w:r>
            <w:r w:rsidR="00FB089F" w:rsidRPr="00B35DB4">
              <w:rPr>
                <w:b/>
                <w:bCs/>
              </w:rPr>
              <w:t>Interpretation</w:t>
            </w:r>
          </w:p>
        </w:tc>
      </w:tr>
      <w:tr w:rsidR="00FB089F" w14:paraId="590A2205" w14:textId="77777777" w:rsidTr="00F008E8">
        <w:tc>
          <w:tcPr>
            <w:tcW w:w="2070" w:type="dxa"/>
            <w:vAlign w:val="center"/>
          </w:tcPr>
          <w:p w14:paraId="76849606" w14:textId="2FB5024D" w:rsidR="00FB089F" w:rsidRDefault="0021339F" w:rsidP="00F008E8">
            <w:pPr>
              <w:pStyle w:val="ListParagraph"/>
              <w:ind w:left="0"/>
              <w:jc w:val="center"/>
            </w:pPr>
            <w:r>
              <w:t>P</w:t>
            </w:r>
            <w:r w:rsidRPr="00292FD0">
              <w:t>ositive reaction</w:t>
            </w:r>
          </w:p>
        </w:tc>
        <w:tc>
          <w:tcPr>
            <w:tcW w:w="7920" w:type="dxa"/>
          </w:tcPr>
          <w:p w14:paraId="577C5D0A" w14:textId="6A8842E6" w:rsidR="00FB089F" w:rsidRDefault="0021339F" w:rsidP="00FB089F">
            <w:pPr>
              <w:pStyle w:val="ListParagraph"/>
              <w:ind w:left="0"/>
            </w:pPr>
            <w:r>
              <w:t>U</w:t>
            </w:r>
            <w:r w:rsidRPr="00292FD0">
              <w:t>rticaria, angioedema, exanthem, wheezing, hypoxia, hypotension, and anaphylaxis</w:t>
            </w:r>
          </w:p>
        </w:tc>
      </w:tr>
      <w:tr w:rsidR="00FB089F" w14:paraId="003F8ED3" w14:textId="77777777" w:rsidTr="00F008E8">
        <w:tc>
          <w:tcPr>
            <w:tcW w:w="2070" w:type="dxa"/>
            <w:vAlign w:val="center"/>
          </w:tcPr>
          <w:p w14:paraId="74C80E67" w14:textId="275E05B8" w:rsidR="00FB089F" w:rsidRDefault="0021339F" w:rsidP="00F008E8">
            <w:pPr>
              <w:pStyle w:val="ListParagraph"/>
              <w:ind w:left="0"/>
              <w:jc w:val="center"/>
            </w:pPr>
            <w:r>
              <w:t>P</w:t>
            </w:r>
            <w:r w:rsidRPr="00292FD0">
              <w:t>ossible reactions</w:t>
            </w:r>
          </w:p>
        </w:tc>
        <w:tc>
          <w:tcPr>
            <w:tcW w:w="7920" w:type="dxa"/>
          </w:tcPr>
          <w:p w14:paraId="39DD7789" w14:textId="2D066746" w:rsidR="00FB089F" w:rsidRDefault="0021339F" w:rsidP="00FB089F">
            <w:pPr>
              <w:pStyle w:val="ListParagraph"/>
              <w:ind w:left="0"/>
            </w:pPr>
            <w:r>
              <w:t>F</w:t>
            </w:r>
            <w:r w:rsidRPr="00292FD0">
              <w:t>lushing, vomiting, cough, abdominal cramping, persistent pruritus without rash, fever, and mouth or eye soreness</w:t>
            </w:r>
          </w:p>
        </w:tc>
      </w:tr>
      <w:tr w:rsidR="00FB089F" w14:paraId="0F7F93BA" w14:textId="77777777" w:rsidTr="00F008E8">
        <w:tc>
          <w:tcPr>
            <w:tcW w:w="2070" w:type="dxa"/>
            <w:vAlign w:val="center"/>
          </w:tcPr>
          <w:p w14:paraId="2156F624" w14:textId="353ED8F5" w:rsidR="00FB089F" w:rsidRDefault="0021339F" w:rsidP="00F008E8">
            <w:pPr>
              <w:pStyle w:val="ListParagraph"/>
              <w:ind w:left="0"/>
              <w:jc w:val="center"/>
            </w:pPr>
            <w:r w:rsidRPr="00292FD0">
              <w:t>Doubtful reactions</w:t>
            </w:r>
          </w:p>
        </w:tc>
        <w:tc>
          <w:tcPr>
            <w:tcW w:w="7920" w:type="dxa"/>
          </w:tcPr>
          <w:p w14:paraId="202D937B" w14:textId="607BABB7" w:rsidR="00FB089F" w:rsidRDefault="00CB2687" w:rsidP="00FB089F">
            <w:pPr>
              <w:pStyle w:val="ListParagraph"/>
              <w:ind w:left="0"/>
            </w:pPr>
            <w:r>
              <w:t>D</w:t>
            </w:r>
            <w:r w:rsidRPr="00292FD0">
              <w:t>izziness, tachycardia, subjective lip/tongue swelling, subjective throat tightness, lump in the throat, dyspnea, transient pruritus without rash, and headache</w:t>
            </w:r>
          </w:p>
        </w:tc>
      </w:tr>
    </w:tbl>
    <w:p w14:paraId="0FA79CA7" w14:textId="77777777" w:rsidR="00FB089F" w:rsidRPr="00292FD0" w:rsidRDefault="00FB089F" w:rsidP="00FB089F">
      <w:pPr>
        <w:pStyle w:val="ListParagraph"/>
      </w:pPr>
    </w:p>
    <w:p w14:paraId="3273BF8E" w14:textId="7D1A82E5" w:rsidR="00292FD0" w:rsidRPr="00292FD0" w:rsidRDefault="00292FD0" w:rsidP="00CB2687">
      <w:pPr>
        <w:pStyle w:val="ListParagraph"/>
        <w:numPr>
          <w:ilvl w:val="0"/>
          <w:numId w:val="4"/>
        </w:numPr>
      </w:pPr>
      <w:r w:rsidRPr="00292FD0">
        <w:t>Though the chance of reaction is exceedingly low (&lt;1%), the clinic should be equipped with diphenhydramine to manage mild reactions and epinephrine to manage anaphylactic reactions, as well as standard resuscitation medications and equipment.</w:t>
      </w:r>
    </w:p>
    <w:p w14:paraId="36CDE409" w14:textId="77777777" w:rsidR="00292FD0" w:rsidRPr="00292FD0" w:rsidRDefault="00292FD0" w:rsidP="00292FD0">
      <w:pPr>
        <w:pStyle w:val="ListParagraph"/>
        <w:ind w:left="0"/>
      </w:pPr>
    </w:p>
    <w:p w14:paraId="2026B145" w14:textId="0CF622FA" w:rsidR="00292FD0" w:rsidRDefault="00292FD0" w:rsidP="00292FD0">
      <w:pPr>
        <w:pStyle w:val="ListParagraph"/>
        <w:numPr>
          <w:ilvl w:val="0"/>
          <w:numId w:val="4"/>
        </w:numPr>
      </w:pPr>
      <w:r w:rsidRPr="00292FD0">
        <w:t xml:space="preserve">If patients do not react to the therapeutic dose, this allergy should be removed from the patient’s chart, and the patient should be advised to inform their pharmacist. Patients should be instructed to report any delayed symptoms of rash, hives, wheezing or swelling in the same day or week, or during any subsequent treatments. Patients should be advised about the safety of future prescription of penicillin and related antibiotics. </w:t>
      </w:r>
    </w:p>
    <w:p w14:paraId="34AA51A8" w14:textId="77777777" w:rsidR="00F439FA" w:rsidRDefault="00F439FA" w:rsidP="00292FD0">
      <w:pPr>
        <w:pStyle w:val="ListParagraph"/>
        <w:ind w:left="0"/>
      </w:pPr>
    </w:p>
    <w:p w14:paraId="7E470683" w14:textId="7C11099A" w:rsidR="00292FD0" w:rsidRDefault="00292FD0" w:rsidP="00292FD0">
      <w:pPr>
        <w:pStyle w:val="ListParagraph"/>
        <w:ind w:left="0"/>
      </w:pPr>
      <w:r>
        <w:t xml:space="preserve">References: </w:t>
      </w:r>
    </w:p>
    <w:p w14:paraId="22B70765" w14:textId="4C81604F" w:rsidR="003F7555" w:rsidRPr="00CA213A" w:rsidRDefault="003F7555" w:rsidP="00CA213A">
      <w:pPr>
        <w:pStyle w:val="ListParagraph"/>
        <w:numPr>
          <w:ilvl w:val="0"/>
          <w:numId w:val="8"/>
        </w:numPr>
        <w:rPr>
          <w:color w:val="4472C4" w:themeColor="accent1"/>
        </w:rPr>
      </w:pPr>
      <w:hyperlink r:id="rId11" w:history="1">
        <w:r w:rsidRPr="003F7555">
          <w:rPr>
            <w:rStyle w:val="Hyperlink"/>
          </w:rPr>
          <w:t xml:space="preserve">Drug allergy: </w:t>
        </w:r>
        <w:r w:rsidR="004241A0">
          <w:rPr>
            <w:rStyle w:val="Hyperlink"/>
          </w:rPr>
          <w:t>2</w:t>
        </w:r>
        <w:r w:rsidRPr="003F7555">
          <w:rPr>
            <w:rStyle w:val="Hyperlink"/>
          </w:rPr>
          <w:t>022 practice parameter update (aaaai.org)</w:t>
        </w:r>
      </w:hyperlink>
    </w:p>
    <w:p w14:paraId="4CAF8AEE" w14:textId="1DAA20BF" w:rsidR="00BC29F6" w:rsidRPr="00CA213A" w:rsidRDefault="00292FD0" w:rsidP="00CA213A">
      <w:pPr>
        <w:pStyle w:val="ListParagraph"/>
        <w:numPr>
          <w:ilvl w:val="0"/>
          <w:numId w:val="8"/>
        </w:numPr>
        <w:rPr>
          <w:rStyle w:val="Hyperlink"/>
          <w:color w:val="4472C4" w:themeColor="accent1"/>
          <w:u w:val="none"/>
        </w:rPr>
      </w:pPr>
      <w:hyperlink r:id="rId12" w:history="1">
        <w:r w:rsidRPr="00CA213A">
          <w:rPr>
            <w:rStyle w:val="Hyperlink"/>
            <w:color w:val="4472C4" w:themeColor="accent1"/>
          </w:rPr>
          <w:t>Direct Oral Challenge in Low-Risk Penicillin Allergy: PALACE RCT|JAMA Internal Medicine</w:t>
        </w:r>
      </w:hyperlink>
    </w:p>
    <w:p w14:paraId="6E272DA8" w14:textId="45B57EC5" w:rsidR="005C05FA" w:rsidRPr="00CA213A" w:rsidRDefault="00451F4B" w:rsidP="00CA213A">
      <w:pPr>
        <w:pStyle w:val="ListParagraph"/>
        <w:numPr>
          <w:ilvl w:val="0"/>
          <w:numId w:val="8"/>
        </w:numPr>
        <w:tabs>
          <w:tab w:val="left" w:pos="2717"/>
        </w:tabs>
        <w:rPr>
          <w:color w:val="4472C4" w:themeColor="accent1"/>
        </w:rPr>
      </w:pPr>
      <w:hyperlink r:id="rId13" w:history="1">
        <w:r w:rsidRPr="00CA213A">
          <w:rPr>
            <w:rStyle w:val="Hyperlink"/>
            <w:color w:val="4472C4" w:themeColor="accent1"/>
          </w:rPr>
          <w:t>Amoxicillin Oral Provocation Challenge in a Primary Care Clinic CMAJ</w:t>
        </w:r>
        <w:r w:rsidR="005C05FA" w:rsidRPr="00CA213A">
          <w:rPr>
            <w:rStyle w:val="Hyperlink"/>
            <w:color w:val="4472C4" w:themeColor="accent1"/>
          </w:rPr>
          <w:t xml:space="preserve"> 2021</w:t>
        </w:r>
        <w:r w:rsidR="00F771AE" w:rsidRPr="00CA213A">
          <w:rPr>
            <w:rStyle w:val="Hyperlink"/>
            <w:color w:val="4472C4" w:themeColor="accent1"/>
          </w:rPr>
          <w:t xml:space="preserve"> (nih.gov)</w:t>
        </w:r>
      </w:hyperlink>
      <w:r w:rsidR="005C05FA" w:rsidRPr="00CA213A">
        <w:rPr>
          <w:color w:val="4472C4" w:themeColor="accent1"/>
        </w:rPr>
        <w:tab/>
      </w:r>
    </w:p>
    <w:p w14:paraId="016105BF" w14:textId="07D9619E" w:rsidR="00292FD0" w:rsidRPr="00CA213A" w:rsidRDefault="00292FD0" w:rsidP="000179D2">
      <w:pPr>
        <w:pStyle w:val="ListParagraph"/>
        <w:numPr>
          <w:ilvl w:val="0"/>
          <w:numId w:val="8"/>
        </w:numPr>
        <w:spacing w:after="240"/>
        <w:rPr>
          <w:color w:val="4472C4" w:themeColor="accent1"/>
        </w:rPr>
      </w:pPr>
      <w:r w:rsidRPr="004241A0">
        <w:t xml:space="preserve">Coding and billing information: </w:t>
      </w:r>
      <w:hyperlink r:id="rId14" w:history="1">
        <w:r w:rsidRPr="00CA213A">
          <w:rPr>
            <w:rStyle w:val="Hyperlink"/>
            <w:color w:val="4472C4" w:themeColor="accent1"/>
          </w:rPr>
          <w:t>Coding for Penicillin Allergy Testing – ACAAI</w:t>
        </w:r>
      </w:hyperlink>
    </w:p>
    <w:p w14:paraId="66D37F2B" w14:textId="77777777" w:rsidR="005627AD" w:rsidRDefault="005627AD" w:rsidP="00D060A6">
      <w:pPr>
        <w:pStyle w:val="Footer"/>
        <w:ind w:left="360"/>
        <w:jc w:val="right"/>
        <w:rPr>
          <w:sz w:val="18"/>
          <w:szCs w:val="18"/>
        </w:rPr>
      </w:pPr>
    </w:p>
    <w:p w14:paraId="62FDCB66" w14:textId="3AF1BC59" w:rsidR="00D060A6" w:rsidRPr="000179D2" w:rsidRDefault="00D060A6" w:rsidP="00D060A6">
      <w:pPr>
        <w:pStyle w:val="Footer"/>
        <w:ind w:left="360"/>
        <w:jc w:val="right"/>
        <w:rPr>
          <w:sz w:val="18"/>
          <w:szCs w:val="18"/>
        </w:rPr>
      </w:pPr>
      <w:r w:rsidRPr="000179D2">
        <w:rPr>
          <w:sz w:val="18"/>
          <w:szCs w:val="18"/>
        </w:rPr>
        <w:t>Developed and reviewed by: Jenna Preusker, PharmD, BCPS, BCIDP, Danny Schroeder, PharmD, BCPS, and Juan Teran, MD: August 2024</w:t>
      </w:r>
    </w:p>
    <w:sectPr w:rsidR="00D060A6" w:rsidRPr="000179D2" w:rsidSect="00292FD0">
      <w:headerReference w:type="default" r:id="rId15"/>
      <w:pgSz w:w="12240" w:h="15840"/>
      <w:pgMar w:top="288"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23C03" w14:textId="77777777" w:rsidR="00974166" w:rsidRDefault="00974166" w:rsidP="00292FD0">
      <w:pPr>
        <w:spacing w:after="0" w:line="240" w:lineRule="auto"/>
      </w:pPr>
      <w:r>
        <w:separator/>
      </w:r>
    </w:p>
  </w:endnote>
  <w:endnote w:type="continuationSeparator" w:id="0">
    <w:p w14:paraId="5FE75443" w14:textId="77777777" w:rsidR="00974166" w:rsidRDefault="00974166" w:rsidP="00292FD0">
      <w:pPr>
        <w:spacing w:after="0" w:line="240" w:lineRule="auto"/>
      </w:pPr>
      <w:r>
        <w:continuationSeparator/>
      </w:r>
    </w:p>
  </w:endnote>
  <w:endnote w:type="continuationNotice" w:id="1">
    <w:p w14:paraId="1A6E580C" w14:textId="77777777" w:rsidR="00974166" w:rsidRDefault="009741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9398E" w14:textId="77777777" w:rsidR="00974166" w:rsidRDefault="00974166" w:rsidP="00292FD0">
      <w:pPr>
        <w:spacing w:after="0" w:line="240" w:lineRule="auto"/>
      </w:pPr>
      <w:r>
        <w:separator/>
      </w:r>
    </w:p>
  </w:footnote>
  <w:footnote w:type="continuationSeparator" w:id="0">
    <w:p w14:paraId="06BDED7E" w14:textId="77777777" w:rsidR="00974166" w:rsidRDefault="00974166" w:rsidP="00292FD0">
      <w:pPr>
        <w:spacing w:after="0" w:line="240" w:lineRule="auto"/>
      </w:pPr>
      <w:r>
        <w:continuationSeparator/>
      </w:r>
    </w:p>
  </w:footnote>
  <w:footnote w:type="continuationNotice" w:id="1">
    <w:p w14:paraId="7E0D24AA" w14:textId="77777777" w:rsidR="00974166" w:rsidRDefault="009741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D0B3F" w14:textId="1B933B5E" w:rsidR="00292FD0" w:rsidRDefault="00292FD0">
    <w:pPr>
      <w:pStyle w:val="Header"/>
    </w:pPr>
    <w:r>
      <w:rPr>
        <w:noProof/>
      </w:rPr>
      <w:drawing>
        <wp:inline distT="0" distB="0" distL="0" distR="0" wp14:anchorId="7A5945BC" wp14:editId="12C969EC">
          <wp:extent cx="6858000" cy="409575"/>
          <wp:effectExtent l="0" t="0" r="0" b="9525"/>
          <wp:docPr id="5622332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233233" name="Picture 562233233"/>
                  <pic:cNvPicPr/>
                </pic:nvPicPr>
                <pic:blipFill>
                  <a:blip r:embed="rId1">
                    <a:extLst>
                      <a:ext uri="{28A0092B-C50C-407E-A947-70E740481C1C}">
                        <a14:useLocalDpi xmlns:a14="http://schemas.microsoft.com/office/drawing/2010/main" val="0"/>
                      </a:ext>
                    </a:extLst>
                  </a:blip>
                  <a:stretch>
                    <a:fillRect/>
                  </a:stretch>
                </pic:blipFill>
                <pic:spPr>
                  <a:xfrm>
                    <a:off x="0" y="0"/>
                    <a:ext cx="6858000" cy="4095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2A2E"/>
    <w:multiLevelType w:val="hybridMultilevel"/>
    <w:tmpl w:val="A49A2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837CD5"/>
    <w:multiLevelType w:val="hybridMultilevel"/>
    <w:tmpl w:val="58869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D821A1"/>
    <w:multiLevelType w:val="hybridMultilevel"/>
    <w:tmpl w:val="C8980A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F4549EB"/>
    <w:multiLevelType w:val="hybridMultilevel"/>
    <w:tmpl w:val="FE08FD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33B42E1"/>
    <w:multiLevelType w:val="hybridMultilevel"/>
    <w:tmpl w:val="D3E8095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ACE1E00"/>
    <w:multiLevelType w:val="hybridMultilevel"/>
    <w:tmpl w:val="D5E661C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D1E383E"/>
    <w:multiLevelType w:val="hybridMultilevel"/>
    <w:tmpl w:val="E6144A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C87119F"/>
    <w:multiLevelType w:val="hybridMultilevel"/>
    <w:tmpl w:val="753888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17620541">
    <w:abstractNumId w:val="3"/>
  </w:num>
  <w:num w:numId="2" w16cid:durableId="308706069">
    <w:abstractNumId w:val="4"/>
  </w:num>
  <w:num w:numId="3" w16cid:durableId="23874850">
    <w:abstractNumId w:val="6"/>
  </w:num>
  <w:num w:numId="4" w16cid:durableId="1587573801">
    <w:abstractNumId w:val="1"/>
  </w:num>
  <w:num w:numId="5" w16cid:durableId="581381005">
    <w:abstractNumId w:val="0"/>
  </w:num>
  <w:num w:numId="6" w16cid:durableId="607007759">
    <w:abstractNumId w:val="5"/>
  </w:num>
  <w:num w:numId="7" w16cid:durableId="817308496">
    <w:abstractNumId w:val="7"/>
  </w:num>
  <w:num w:numId="8" w16cid:durableId="1582323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1C0"/>
    <w:rsid w:val="000172D6"/>
    <w:rsid w:val="000179D2"/>
    <w:rsid w:val="00035462"/>
    <w:rsid w:val="0005791E"/>
    <w:rsid w:val="001E5311"/>
    <w:rsid w:val="0021339F"/>
    <w:rsid w:val="002213CE"/>
    <w:rsid w:val="00237365"/>
    <w:rsid w:val="00292FD0"/>
    <w:rsid w:val="002E41F1"/>
    <w:rsid w:val="00384C1A"/>
    <w:rsid w:val="003B5A6D"/>
    <w:rsid w:val="003E4D30"/>
    <w:rsid w:val="003F7555"/>
    <w:rsid w:val="004241A0"/>
    <w:rsid w:val="0043559A"/>
    <w:rsid w:val="00451F4B"/>
    <w:rsid w:val="0048646C"/>
    <w:rsid w:val="00504AE9"/>
    <w:rsid w:val="00512E5D"/>
    <w:rsid w:val="005627AD"/>
    <w:rsid w:val="005C05FA"/>
    <w:rsid w:val="005E468E"/>
    <w:rsid w:val="00636DF7"/>
    <w:rsid w:val="00692917"/>
    <w:rsid w:val="006A7E1B"/>
    <w:rsid w:val="006F12EE"/>
    <w:rsid w:val="006F1B9B"/>
    <w:rsid w:val="00703409"/>
    <w:rsid w:val="0073662E"/>
    <w:rsid w:val="00740D51"/>
    <w:rsid w:val="007530A4"/>
    <w:rsid w:val="007744FE"/>
    <w:rsid w:val="00801A4D"/>
    <w:rsid w:val="00816C3E"/>
    <w:rsid w:val="00821B54"/>
    <w:rsid w:val="0087130E"/>
    <w:rsid w:val="008E7E0A"/>
    <w:rsid w:val="009551C0"/>
    <w:rsid w:val="00974166"/>
    <w:rsid w:val="009C7854"/>
    <w:rsid w:val="009F448E"/>
    <w:rsid w:val="00A015B6"/>
    <w:rsid w:val="00A3042D"/>
    <w:rsid w:val="00A61C19"/>
    <w:rsid w:val="00AC1688"/>
    <w:rsid w:val="00AC3D59"/>
    <w:rsid w:val="00B35DB4"/>
    <w:rsid w:val="00B5206F"/>
    <w:rsid w:val="00B62107"/>
    <w:rsid w:val="00B9722D"/>
    <w:rsid w:val="00BC29F6"/>
    <w:rsid w:val="00BD54AD"/>
    <w:rsid w:val="00BD66F5"/>
    <w:rsid w:val="00C127CD"/>
    <w:rsid w:val="00C9500E"/>
    <w:rsid w:val="00CA213A"/>
    <w:rsid w:val="00CA5489"/>
    <w:rsid w:val="00CB2687"/>
    <w:rsid w:val="00CD31CC"/>
    <w:rsid w:val="00CE4339"/>
    <w:rsid w:val="00CE4C37"/>
    <w:rsid w:val="00CE5367"/>
    <w:rsid w:val="00CF50C8"/>
    <w:rsid w:val="00D060A6"/>
    <w:rsid w:val="00DA4110"/>
    <w:rsid w:val="00DF42E8"/>
    <w:rsid w:val="00E723C5"/>
    <w:rsid w:val="00EB05C8"/>
    <w:rsid w:val="00EB6A31"/>
    <w:rsid w:val="00F008E8"/>
    <w:rsid w:val="00F439FA"/>
    <w:rsid w:val="00F771AE"/>
    <w:rsid w:val="00F832CD"/>
    <w:rsid w:val="00FB089F"/>
    <w:rsid w:val="00FF286F"/>
    <w:rsid w:val="00FF4BD2"/>
    <w:rsid w:val="4CF7EB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7FD6F"/>
  <w15:chartTrackingRefBased/>
  <w15:docId w15:val="{7FA1DB7A-763F-49F5-A789-14BD07EE8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51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51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51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51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551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551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51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51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51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1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51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51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51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51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51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51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51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51C0"/>
    <w:rPr>
      <w:rFonts w:eastAsiaTheme="majorEastAsia" w:cstheme="majorBidi"/>
      <w:color w:val="272727" w:themeColor="text1" w:themeTint="D8"/>
    </w:rPr>
  </w:style>
  <w:style w:type="paragraph" w:styleId="Title">
    <w:name w:val="Title"/>
    <w:basedOn w:val="Normal"/>
    <w:next w:val="Normal"/>
    <w:link w:val="TitleChar"/>
    <w:uiPriority w:val="10"/>
    <w:qFormat/>
    <w:rsid w:val="009551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51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51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51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51C0"/>
    <w:pPr>
      <w:spacing w:before="160"/>
      <w:jc w:val="center"/>
    </w:pPr>
    <w:rPr>
      <w:i/>
      <w:iCs/>
      <w:color w:val="404040" w:themeColor="text1" w:themeTint="BF"/>
    </w:rPr>
  </w:style>
  <w:style w:type="character" w:customStyle="1" w:styleId="QuoteChar">
    <w:name w:val="Quote Char"/>
    <w:basedOn w:val="DefaultParagraphFont"/>
    <w:link w:val="Quote"/>
    <w:uiPriority w:val="29"/>
    <w:rsid w:val="009551C0"/>
    <w:rPr>
      <w:i/>
      <w:iCs/>
      <w:color w:val="404040" w:themeColor="text1" w:themeTint="BF"/>
    </w:rPr>
  </w:style>
  <w:style w:type="paragraph" w:styleId="ListParagraph">
    <w:name w:val="List Paragraph"/>
    <w:basedOn w:val="Normal"/>
    <w:uiPriority w:val="34"/>
    <w:qFormat/>
    <w:rsid w:val="009551C0"/>
    <w:pPr>
      <w:ind w:left="720"/>
      <w:contextualSpacing/>
    </w:pPr>
  </w:style>
  <w:style w:type="character" w:styleId="IntenseEmphasis">
    <w:name w:val="Intense Emphasis"/>
    <w:basedOn w:val="DefaultParagraphFont"/>
    <w:uiPriority w:val="21"/>
    <w:qFormat/>
    <w:rsid w:val="009551C0"/>
    <w:rPr>
      <w:i/>
      <w:iCs/>
      <w:color w:val="2F5496" w:themeColor="accent1" w:themeShade="BF"/>
    </w:rPr>
  </w:style>
  <w:style w:type="paragraph" w:styleId="IntenseQuote">
    <w:name w:val="Intense Quote"/>
    <w:basedOn w:val="Normal"/>
    <w:next w:val="Normal"/>
    <w:link w:val="IntenseQuoteChar"/>
    <w:uiPriority w:val="30"/>
    <w:qFormat/>
    <w:rsid w:val="009551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51C0"/>
    <w:rPr>
      <w:i/>
      <w:iCs/>
      <w:color w:val="2F5496" w:themeColor="accent1" w:themeShade="BF"/>
    </w:rPr>
  </w:style>
  <w:style w:type="character" w:styleId="IntenseReference">
    <w:name w:val="Intense Reference"/>
    <w:basedOn w:val="DefaultParagraphFont"/>
    <w:uiPriority w:val="32"/>
    <w:qFormat/>
    <w:rsid w:val="009551C0"/>
    <w:rPr>
      <w:b/>
      <w:bCs/>
      <w:smallCaps/>
      <w:color w:val="2F5496" w:themeColor="accent1" w:themeShade="BF"/>
      <w:spacing w:val="5"/>
    </w:rPr>
  </w:style>
  <w:style w:type="character" w:styleId="Hyperlink">
    <w:name w:val="Hyperlink"/>
    <w:basedOn w:val="DefaultParagraphFont"/>
    <w:uiPriority w:val="99"/>
    <w:unhideWhenUsed/>
    <w:rsid w:val="00292FD0"/>
    <w:rPr>
      <w:color w:val="0563C1" w:themeColor="hyperlink"/>
      <w:u w:val="single"/>
    </w:rPr>
  </w:style>
  <w:style w:type="character" w:styleId="UnresolvedMention">
    <w:name w:val="Unresolved Mention"/>
    <w:basedOn w:val="DefaultParagraphFont"/>
    <w:uiPriority w:val="99"/>
    <w:semiHidden/>
    <w:unhideWhenUsed/>
    <w:rsid w:val="00292FD0"/>
    <w:rPr>
      <w:color w:val="605E5C"/>
      <w:shd w:val="clear" w:color="auto" w:fill="E1DFDD"/>
    </w:rPr>
  </w:style>
  <w:style w:type="paragraph" w:styleId="Header">
    <w:name w:val="header"/>
    <w:basedOn w:val="Normal"/>
    <w:link w:val="HeaderChar"/>
    <w:uiPriority w:val="99"/>
    <w:unhideWhenUsed/>
    <w:rsid w:val="00292F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FD0"/>
  </w:style>
  <w:style w:type="paragraph" w:styleId="Footer">
    <w:name w:val="footer"/>
    <w:basedOn w:val="Normal"/>
    <w:link w:val="FooterChar"/>
    <w:uiPriority w:val="99"/>
    <w:unhideWhenUsed/>
    <w:rsid w:val="00292F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FD0"/>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04AE9"/>
    <w:rPr>
      <w:b/>
      <w:bCs/>
    </w:rPr>
  </w:style>
  <w:style w:type="character" w:customStyle="1" w:styleId="CommentSubjectChar">
    <w:name w:val="Comment Subject Char"/>
    <w:basedOn w:val="CommentTextChar"/>
    <w:link w:val="CommentSubject"/>
    <w:uiPriority w:val="99"/>
    <w:semiHidden/>
    <w:rsid w:val="00504AE9"/>
    <w:rPr>
      <w:b/>
      <w:bCs/>
      <w:sz w:val="20"/>
      <w:szCs w:val="20"/>
    </w:rPr>
  </w:style>
  <w:style w:type="table" w:styleId="TableGrid">
    <w:name w:val="Table Grid"/>
    <w:basedOn w:val="TableNormal"/>
    <w:uiPriority w:val="39"/>
    <w:rsid w:val="00FB08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C78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cbi.nlm.nih.gov/pmc/articles/PMC8084548/pdf/cmajo.20200077.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jamanetwork.com/journals/jamainternalmedicine/article-abstract/280697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aaai.org/Aaaai/media/Media-Library-PDFs/Allergist%20Resources/Statements%20and%20Practice%20Parameters/Drug-Allergy-2022.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mdcalc.com/calc/10422/penicillin-allergy-decision-rule-pen-fas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ollege.acaai.org/coding-for-penicillin-allergy-testing-everything-you-need-to-kno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AFA30615010D4CA474BD8B14580D14" ma:contentTypeVersion="21" ma:contentTypeDescription="Create a new document." ma:contentTypeScope="" ma:versionID="51a1cd0540de8979116cffdf292569e3">
  <xsd:schema xmlns:xsd="http://www.w3.org/2001/XMLSchema" xmlns:xs="http://www.w3.org/2001/XMLSchema" xmlns:p="http://schemas.microsoft.com/office/2006/metadata/properties" xmlns:ns1="http://schemas.microsoft.com/sharepoint/v3" xmlns:ns2="3649e694-83a0-4eb4-91a9-2edc6d5654a8" xmlns:ns3="27d7a205-e6b7-40dc-a3db-050d5bce8977" targetNamespace="http://schemas.microsoft.com/office/2006/metadata/properties" ma:root="true" ma:fieldsID="95a938fb9deb034ac907ab4eb289d57f" ns1:_="" ns2:_="" ns3:_="">
    <xsd:import namespace="http://schemas.microsoft.com/sharepoint/v3"/>
    <xsd:import namespace="3649e694-83a0-4eb4-91a9-2edc6d5654a8"/>
    <xsd:import namespace="27d7a205-e6b7-40dc-a3db-050d5bce89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49e694-83a0-4eb4-91a9-2edc6d5654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1d4a69-9812-4340-96bf-3c60240190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d7a205-e6b7-40dc-a3db-050d5bce89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90deae-4f7c-49fe-b2ba-19e8d55f8b76}" ma:internalName="TaxCatchAll" ma:showField="CatchAllData" ma:web="27d7a205-e6b7-40dc-a3db-050d5bce89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7d7a205-e6b7-40dc-a3db-050d5bce8977" xsi:nil="true"/>
    <lcf76f155ced4ddcb4097134ff3c332f xmlns="3649e694-83a0-4eb4-91a9-2edc6d5654a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091A51-4CC9-4603-9DC4-BB79576485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649e694-83a0-4eb4-91a9-2edc6d5654a8"/>
    <ds:schemaRef ds:uri="27d7a205-e6b7-40dc-a3db-050d5bce89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A3022F-09F8-4E5E-9C8F-1F6D71079826}">
  <ds:schemaRefs>
    <ds:schemaRef ds:uri="http://schemas.microsoft.com/office/2006/metadata/properties"/>
    <ds:schemaRef ds:uri="http://schemas.microsoft.com/office/infopath/2007/PartnerControls"/>
    <ds:schemaRef ds:uri="http://schemas.microsoft.com/sharepoint/v3"/>
    <ds:schemaRef ds:uri="27d7a205-e6b7-40dc-a3db-050d5bce8977"/>
    <ds:schemaRef ds:uri="3649e694-83a0-4eb4-91a9-2edc6d5654a8"/>
  </ds:schemaRefs>
</ds:datastoreItem>
</file>

<file path=customXml/itemProps3.xml><?xml version="1.0" encoding="utf-8"?>
<ds:datastoreItem xmlns:ds="http://schemas.openxmlformats.org/officeDocument/2006/customXml" ds:itemID="{1A28C933-6364-4A5D-9695-251B86F1C820}">
  <ds:schemaRefs>
    <ds:schemaRef ds:uri="http://schemas.microsoft.com/sharepoint/v3/contenttype/forms"/>
  </ds:schemaRefs>
</ds:datastoreItem>
</file>

<file path=docMetadata/LabelInfo.xml><?xml version="1.0" encoding="utf-8"?>
<clbl:labelList xmlns:clbl="http://schemas.microsoft.com/office/2020/mipLabelMetadata">
  <clbl:label id="{4089213e-0e14-4705-ad42-2433828c4e4e}" enabled="1" method="Standard" siteId="{84a28940-b464-41c3-ba3b-b4fa6665bc0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578</Words>
  <Characters>3297</Characters>
  <Application>Microsoft Office Word</Application>
  <DocSecurity>0</DocSecurity>
  <Lines>27</Lines>
  <Paragraphs>7</Paragraphs>
  <ScaleCrop>false</ScaleCrop>
  <Company>UNMC-NMC</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Preusker, Jenna</dc:creator>
  <cp:keywords/>
  <dc:description/>
  <cp:lastModifiedBy>Miller, Matthew</cp:lastModifiedBy>
  <cp:revision>51</cp:revision>
  <dcterms:created xsi:type="dcterms:W3CDTF">2026-10-15T17:57:00Z</dcterms:created>
  <dcterms:modified xsi:type="dcterms:W3CDTF">2026-10-15T17:57:00Z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0x010100DCAFA30615010D4CA474BD8B14580D14</vt:lpwstr>
  </property>
  <property fmtid="{D5CDD505-2E9C-101B-9397-08002B2CF9AE}" pid="3" name="MediaServiceImageTags">
    <vt:lpwstr/>
  </property>
</Properties>
</file>