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9935D" w14:textId="77777777" w:rsidR="00B57271" w:rsidRPr="00D56E07" w:rsidRDefault="00D56E07" w:rsidP="002C0E3F">
      <w:pPr>
        <w:pStyle w:val="Heading1"/>
        <w:spacing w:after="120"/>
        <w:rPr>
          <w:b/>
        </w:rPr>
      </w:pPr>
      <w:r w:rsidRPr="00D56E07">
        <w:rPr>
          <w:b/>
        </w:rPr>
        <w:t xml:space="preserve">Appropriate Use of </w:t>
      </w:r>
      <w:r w:rsidR="00A15DAE" w:rsidRPr="00D56E07">
        <w:rPr>
          <w:b/>
        </w:rPr>
        <w:t>Proton Pump Inhibitor</w:t>
      </w:r>
      <w:r w:rsidRPr="00D56E07">
        <w:rPr>
          <w:b/>
        </w:rPr>
        <w:t>s</w:t>
      </w:r>
    </w:p>
    <w:p w14:paraId="42E71760" w14:textId="44BE8742" w:rsidR="00E21989" w:rsidRDefault="00A15DAE">
      <w:r w:rsidRPr="00025B08">
        <w:rPr>
          <w:sz w:val="20"/>
        </w:rPr>
        <w:t>Proton pump inhibitors</w:t>
      </w:r>
      <w:r w:rsidR="002C2786" w:rsidRPr="00025B08">
        <w:rPr>
          <w:sz w:val="20"/>
        </w:rPr>
        <w:t xml:space="preserve"> </w:t>
      </w:r>
      <w:r w:rsidR="007457F0" w:rsidRPr="00025B08">
        <w:rPr>
          <w:sz w:val="20"/>
        </w:rPr>
        <w:t xml:space="preserve">(PPI) </w:t>
      </w:r>
      <w:r w:rsidR="00E57792" w:rsidRPr="00025B08">
        <w:rPr>
          <w:sz w:val="20"/>
        </w:rPr>
        <w:t xml:space="preserve">are among the most widely used class of medications </w:t>
      </w:r>
      <w:r w:rsidR="00C86EE0" w:rsidRPr="00025B08">
        <w:rPr>
          <w:sz w:val="20"/>
        </w:rPr>
        <w:t xml:space="preserve">for the prevention of gastric ulceration </w:t>
      </w:r>
      <w:r w:rsidR="00E57792" w:rsidRPr="00025B08">
        <w:rPr>
          <w:sz w:val="20"/>
        </w:rPr>
        <w:t xml:space="preserve">due to </w:t>
      </w:r>
      <w:r w:rsidR="00C86EE0" w:rsidRPr="00025B08">
        <w:rPr>
          <w:sz w:val="20"/>
        </w:rPr>
        <w:t>their</w:t>
      </w:r>
      <w:r w:rsidR="00E57792" w:rsidRPr="00025B08">
        <w:rPr>
          <w:sz w:val="20"/>
        </w:rPr>
        <w:t xml:space="preserve"> safety profile.  </w:t>
      </w:r>
      <w:r w:rsidR="001F2372" w:rsidRPr="00025B08">
        <w:rPr>
          <w:sz w:val="20"/>
        </w:rPr>
        <w:t>However, r</w:t>
      </w:r>
      <w:r w:rsidR="00E57792" w:rsidRPr="00025B08">
        <w:rPr>
          <w:sz w:val="20"/>
        </w:rPr>
        <w:t>ecent data suggest that t</w:t>
      </w:r>
      <w:r w:rsidR="007457F0" w:rsidRPr="00025B08">
        <w:rPr>
          <w:sz w:val="20"/>
        </w:rPr>
        <w:t xml:space="preserve">he use of PPI </w:t>
      </w:r>
      <w:r w:rsidR="00E57792" w:rsidRPr="00025B08">
        <w:rPr>
          <w:sz w:val="20"/>
        </w:rPr>
        <w:t>is associated with increased risk of vitamin and mineral</w:t>
      </w:r>
      <w:r w:rsidR="00C86EE0" w:rsidRPr="00025B08">
        <w:rPr>
          <w:sz w:val="20"/>
        </w:rPr>
        <w:t xml:space="preserve"> malabsorption</w:t>
      </w:r>
      <w:r w:rsidR="00D56E07" w:rsidRPr="00025B08">
        <w:rPr>
          <w:sz w:val="20"/>
        </w:rPr>
        <w:t>, bone fracture</w:t>
      </w:r>
      <w:r w:rsidR="00C86EE0" w:rsidRPr="00025B08">
        <w:rPr>
          <w:sz w:val="20"/>
        </w:rPr>
        <w:t>s</w:t>
      </w:r>
      <w:r w:rsidR="007457F0" w:rsidRPr="00025B08">
        <w:rPr>
          <w:sz w:val="20"/>
        </w:rPr>
        <w:t xml:space="preserve">, </w:t>
      </w:r>
      <w:r w:rsidR="00A80092" w:rsidRPr="00025B08">
        <w:rPr>
          <w:sz w:val="20"/>
        </w:rPr>
        <w:t>chronic kidney disease</w:t>
      </w:r>
      <w:r w:rsidR="00D56E07" w:rsidRPr="00025B08">
        <w:rPr>
          <w:sz w:val="20"/>
        </w:rPr>
        <w:t xml:space="preserve">, </w:t>
      </w:r>
      <w:r w:rsidR="00E21989" w:rsidRPr="00025B08">
        <w:rPr>
          <w:sz w:val="20"/>
        </w:rPr>
        <w:t xml:space="preserve">pneumonia, </w:t>
      </w:r>
      <w:r w:rsidR="007457F0" w:rsidRPr="00025B08">
        <w:rPr>
          <w:sz w:val="20"/>
        </w:rPr>
        <w:t xml:space="preserve">viral gastroenteritis, and </w:t>
      </w:r>
      <w:r w:rsidR="007457F0" w:rsidRPr="00025B08">
        <w:rPr>
          <w:i/>
          <w:sz w:val="20"/>
        </w:rPr>
        <w:t xml:space="preserve">Clostridioides difficile </w:t>
      </w:r>
      <w:r w:rsidR="00E57792" w:rsidRPr="00025B08">
        <w:rPr>
          <w:sz w:val="20"/>
        </w:rPr>
        <w:t>infections.</w:t>
      </w:r>
      <w:r w:rsidR="001F2372" w:rsidRPr="00025B08">
        <w:rPr>
          <w:sz w:val="20"/>
          <w:vertAlign w:val="superscript"/>
        </w:rPr>
        <w:t>1-</w:t>
      </w:r>
      <w:r w:rsidR="00DE4A1B" w:rsidRPr="00025B08">
        <w:rPr>
          <w:sz w:val="20"/>
          <w:vertAlign w:val="superscript"/>
        </w:rPr>
        <w:t>7</w:t>
      </w:r>
      <w:r w:rsidR="00E57792" w:rsidRPr="00025B08">
        <w:rPr>
          <w:sz w:val="20"/>
        </w:rPr>
        <w:t xml:space="preserve"> </w:t>
      </w:r>
      <w:r w:rsidR="00C86EE0" w:rsidRPr="00025B08">
        <w:rPr>
          <w:sz w:val="20"/>
        </w:rPr>
        <w:t xml:space="preserve">Because of emerging data on the </w:t>
      </w:r>
      <w:r w:rsidR="00A80092" w:rsidRPr="00025B08">
        <w:rPr>
          <w:sz w:val="20"/>
        </w:rPr>
        <w:t xml:space="preserve">potential </w:t>
      </w:r>
      <w:r w:rsidR="00C86EE0" w:rsidRPr="00025B08">
        <w:rPr>
          <w:sz w:val="20"/>
        </w:rPr>
        <w:t>harms associated with PPI and the frequent inappropriate use of these agents, careful review o</w:t>
      </w:r>
      <w:r w:rsidR="001F2372" w:rsidRPr="00025B08">
        <w:rPr>
          <w:sz w:val="20"/>
        </w:rPr>
        <w:t xml:space="preserve">f the indications for PPI use </w:t>
      </w:r>
      <w:r w:rsidR="00E21989" w:rsidRPr="00025B08">
        <w:rPr>
          <w:sz w:val="20"/>
        </w:rPr>
        <w:t>should be performed.</w:t>
      </w:r>
    </w:p>
    <w:p w14:paraId="36788761" w14:textId="5C57D840" w:rsidR="00DE4A1B" w:rsidRPr="00025B08" w:rsidRDefault="00E21989" w:rsidP="002C0E3F">
      <w:pPr>
        <w:spacing w:after="240"/>
        <w:rPr>
          <w:sz w:val="20"/>
        </w:rPr>
      </w:pPr>
      <w:r w:rsidRPr="00025B08">
        <w:rPr>
          <w:sz w:val="20"/>
        </w:rPr>
        <w:t>The risks of upper gastrointestinal bleed (UGIB) in hospitalized patients are associated with 4 factors: acute illnesses, chronic conditions, drugs, and devices.</w:t>
      </w:r>
      <w:r w:rsidR="00DE4A1B" w:rsidRPr="00025B08">
        <w:rPr>
          <w:sz w:val="20"/>
          <w:vertAlign w:val="superscript"/>
        </w:rPr>
        <w:t>8</w:t>
      </w:r>
      <w:r w:rsidRPr="00025B08">
        <w:rPr>
          <w:sz w:val="20"/>
        </w:rPr>
        <w:t xml:space="preserve"> </w:t>
      </w:r>
      <w:r w:rsidR="00E57792" w:rsidRPr="00025B08">
        <w:rPr>
          <w:sz w:val="20"/>
        </w:rPr>
        <w:t xml:space="preserve"> </w:t>
      </w:r>
    </w:p>
    <w:p w14:paraId="48EE7558" w14:textId="77777777" w:rsidR="00027D87" w:rsidRDefault="00DE4A1B" w:rsidP="002132A9">
      <w:pPr>
        <w:spacing w:after="240"/>
        <w:ind w:left="547"/>
      </w:pPr>
      <w:r>
        <w:rPr>
          <w:noProof/>
        </w:rPr>
        <w:drawing>
          <wp:inline distT="0" distB="0" distL="0" distR="0" wp14:anchorId="31F72EAB" wp14:editId="72C6204C">
            <wp:extent cx="5486400" cy="2321781"/>
            <wp:effectExtent l="0" t="57150" r="0" b="596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A8BAAA1" w14:textId="77777777" w:rsidR="003230E2" w:rsidRPr="00025B08" w:rsidRDefault="003230E2" w:rsidP="003230E2">
      <w:pPr>
        <w:spacing w:after="0" w:line="240" w:lineRule="auto"/>
        <w:rPr>
          <w:sz w:val="20"/>
        </w:rPr>
      </w:pPr>
      <w:r w:rsidRPr="00025B08">
        <w:rPr>
          <w:sz w:val="20"/>
        </w:rPr>
        <w:t>PPI</w:t>
      </w:r>
      <w:r>
        <w:rPr>
          <w:sz w:val="20"/>
        </w:rPr>
        <w:t>’s are</w:t>
      </w:r>
      <w:r w:rsidRPr="00025B08">
        <w:rPr>
          <w:sz w:val="20"/>
        </w:rPr>
        <w:t xml:space="preserve"> indicated for the </w:t>
      </w:r>
      <w:r w:rsidRPr="00025B08">
        <w:rPr>
          <w:b/>
          <w:sz w:val="20"/>
          <w:u w:val="single"/>
        </w:rPr>
        <w:t>treatment</w:t>
      </w:r>
      <w:r w:rsidRPr="00025B08">
        <w:rPr>
          <w:sz w:val="20"/>
        </w:rPr>
        <w:t xml:space="preserve"> of the following conditions:</w:t>
      </w:r>
    </w:p>
    <w:p w14:paraId="1B1DBAC2" w14:textId="77777777" w:rsidR="003230E2" w:rsidRDefault="003230E2" w:rsidP="003230E2">
      <w:pPr>
        <w:pStyle w:val="ListParagraph"/>
        <w:numPr>
          <w:ilvl w:val="0"/>
          <w:numId w:val="1"/>
        </w:numPr>
        <w:spacing w:after="0" w:line="240" w:lineRule="auto"/>
        <w:rPr>
          <w:sz w:val="20"/>
        </w:rPr>
      </w:pPr>
      <w:r>
        <w:rPr>
          <w:sz w:val="20"/>
        </w:rPr>
        <w:t>Zollinger-Ellison Syndrome</w:t>
      </w:r>
    </w:p>
    <w:p w14:paraId="5E9256E7" w14:textId="77777777" w:rsidR="003230E2" w:rsidRDefault="003230E2" w:rsidP="003230E2">
      <w:pPr>
        <w:pStyle w:val="ListParagraph"/>
        <w:numPr>
          <w:ilvl w:val="0"/>
          <w:numId w:val="1"/>
        </w:numPr>
        <w:spacing w:after="0" w:line="240" w:lineRule="auto"/>
        <w:rPr>
          <w:sz w:val="20"/>
        </w:rPr>
      </w:pPr>
      <w:r>
        <w:rPr>
          <w:sz w:val="20"/>
        </w:rPr>
        <w:t>Barrett’s esophagus</w:t>
      </w:r>
    </w:p>
    <w:p w14:paraId="2F1CBF20" w14:textId="77777777" w:rsidR="003230E2" w:rsidRDefault="003230E2" w:rsidP="003230E2">
      <w:pPr>
        <w:pStyle w:val="ListParagraph"/>
        <w:numPr>
          <w:ilvl w:val="0"/>
          <w:numId w:val="1"/>
        </w:numPr>
        <w:spacing w:after="0" w:line="240" w:lineRule="auto"/>
        <w:rPr>
          <w:sz w:val="20"/>
        </w:rPr>
      </w:pPr>
      <w:r>
        <w:rPr>
          <w:sz w:val="20"/>
        </w:rPr>
        <w:t>Acute upper GI bleed</w:t>
      </w:r>
    </w:p>
    <w:p w14:paraId="7CDCF4FB" w14:textId="77777777" w:rsidR="003230E2" w:rsidRDefault="003230E2" w:rsidP="003230E2">
      <w:pPr>
        <w:pStyle w:val="ListParagraph"/>
        <w:numPr>
          <w:ilvl w:val="0"/>
          <w:numId w:val="1"/>
        </w:numPr>
        <w:spacing w:after="0" w:line="240" w:lineRule="auto"/>
        <w:rPr>
          <w:sz w:val="20"/>
        </w:rPr>
      </w:pPr>
      <w:r>
        <w:rPr>
          <w:sz w:val="20"/>
        </w:rPr>
        <w:t>Erosive esophagitis</w:t>
      </w:r>
    </w:p>
    <w:p w14:paraId="43AF3087" w14:textId="77777777" w:rsidR="003230E2" w:rsidRDefault="003230E2" w:rsidP="003230E2">
      <w:pPr>
        <w:pStyle w:val="ListParagraph"/>
        <w:numPr>
          <w:ilvl w:val="0"/>
          <w:numId w:val="1"/>
        </w:numPr>
        <w:spacing w:after="0" w:line="240" w:lineRule="auto"/>
        <w:rPr>
          <w:sz w:val="20"/>
        </w:rPr>
      </w:pPr>
      <w:r w:rsidRPr="00025B08">
        <w:rPr>
          <w:i/>
          <w:sz w:val="20"/>
        </w:rPr>
        <w:t>Helicobacter pylori</w:t>
      </w:r>
      <w:r>
        <w:rPr>
          <w:sz w:val="20"/>
        </w:rPr>
        <w:t xml:space="preserve"> treatment</w:t>
      </w:r>
    </w:p>
    <w:p w14:paraId="32E581E3" w14:textId="77777777" w:rsidR="003230E2" w:rsidRDefault="003230E2" w:rsidP="003230E2">
      <w:pPr>
        <w:pStyle w:val="ListParagraph"/>
        <w:numPr>
          <w:ilvl w:val="0"/>
          <w:numId w:val="1"/>
        </w:numPr>
        <w:spacing w:after="0" w:line="240" w:lineRule="auto"/>
        <w:rPr>
          <w:sz w:val="20"/>
        </w:rPr>
      </w:pPr>
      <w:r>
        <w:rPr>
          <w:sz w:val="20"/>
        </w:rPr>
        <w:t>Gastric or duodenal ulcer</w:t>
      </w:r>
    </w:p>
    <w:p w14:paraId="29B4A8F3" w14:textId="6B3FB0EA" w:rsidR="003230E2" w:rsidRDefault="003230E2" w:rsidP="003230E2">
      <w:pPr>
        <w:pStyle w:val="ListParagraph"/>
        <w:numPr>
          <w:ilvl w:val="0"/>
          <w:numId w:val="1"/>
        </w:numPr>
        <w:spacing w:after="0" w:line="240" w:lineRule="auto"/>
        <w:rPr>
          <w:sz w:val="20"/>
        </w:rPr>
      </w:pPr>
      <w:r w:rsidRPr="007E7738">
        <w:rPr>
          <w:sz w:val="20"/>
        </w:rPr>
        <w:t>Gastroesophageal reflux disease (GERD)</w:t>
      </w:r>
    </w:p>
    <w:p w14:paraId="34910578" w14:textId="77777777" w:rsidR="003230E2" w:rsidRDefault="003230E2" w:rsidP="002132A9">
      <w:pPr>
        <w:spacing w:after="0" w:line="240" w:lineRule="auto"/>
        <w:rPr>
          <w:sz w:val="20"/>
        </w:rPr>
      </w:pPr>
    </w:p>
    <w:p w14:paraId="7F189A64" w14:textId="790A9CBB" w:rsidR="000505AC" w:rsidRPr="00025B08" w:rsidRDefault="003230E2" w:rsidP="00027D87">
      <w:pPr>
        <w:spacing w:after="0" w:line="240" w:lineRule="auto"/>
        <w:rPr>
          <w:sz w:val="20"/>
        </w:rPr>
      </w:pPr>
      <w:r>
        <w:rPr>
          <w:sz w:val="20"/>
        </w:rPr>
        <w:t>PPI’s</w:t>
      </w:r>
      <w:r w:rsidR="005C718F" w:rsidRPr="00025B08">
        <w:rPr>
          <w:sz w:val="20"/>
        </w:rPr>
        <w:t xml:space="preserve"> </w:t>
      </w:r>
      <w:r w:rsidR="002C0E3F">
        <w:rPr>
          <w:sz w:val="20"/>
        </w:rPr>
        <w:t>are considered appropriate</w:t>
      </w:r>
      <w:r w:rsidR="002C0E3F" w:rsidRPr="00025B08">
        <w:rPr>
          <w:sz w:val="20"/>
        </w:rPr>
        <w:t xml:space="preserve"> </w:t>
      </w:r>
      <w:r w:rsidR="005C718F" w:rsidRPr="00025B08">
        <w:rPr>
          <w:sz w:val="20"/>
        </w:rPr>
        <w:t xml:space="preserve">for the </w:t>
      </w:r>
      <w:r w:rsidR="005C718F" w:rsidRPr="00025B08">
        <w:rPr>
          <w:b/>
          <w:sz w:val="20"/>
          <w:u w:val="single"/>
        </w:rPr>
        <w:t>prophylaxis</w:t>
      </w:r>
      <w:r w:rsidR="005C718F" w:rsidRPr="00025B08">
        <w:rPr>
          <w:sz w:val="20"/>
        </w:rPr>
        <w:t xml:space="preserve"> of </w:t>
      </w:r>
      <w:r w:rsidR="007A237D" w:rsidRPr="00025B08">
        <w:rPr>
          <w:sz w:val="20"/>
        </w:rPr>
        <w:t>UGIB</w:t>
      </w:r>
      <w:r>
        <w:rPr>
          <w:sz w:val="20"/>
        </w:rPr>
        <w:t xml:space="preserve"> </w:t>
      </w:r>
      <w:r w:rsidR="000505AC" w:rsidRPr="00025B08">
        <w:rPr>
          <w:sz w:val="20"/>
        </w:rPr>
        <w:t>in the following conditions</w:t>
      </w:r>
      <w:proofErr w:type="gramStart"/>
      <w:r w:rsidR="000505AC" w:rsidRPr="00025B08">
        <w:rPr>
          <w:sz w:val="20"/>
        </w:rPr>
        <w:t>:</w:t>
      </w:r>
      <w:r w:rsidR="003219D0" w:rsidRPr="00025B08">
        <w:rPr>
          <w:sz w:val="20"/>
          <w:vertAlign w:val="superscript"/>
        </w:rPr>
        <w:t>9</w:t>
      </w:r>
      <w:proofErr w:type="gramEnd"/>
      <w:r w:rsidR="003219D0" w:rsidRPr="00025B08">
        <w:rPr>
          <w:sz w:val="20"/>
          <w:vertAlign w:val="superscript"/>
        </w:rPr>
        <w:t>-11</w:t>
      </w:r>
    </w:p>
    <w:p w14:paraId="6DE7DDF8" w14:textId="77777777" w:rsidR="00027D87" w:rsidRPr="00025B08" w:rsidRDefault="00027D87" w:rsidP="00027D87">
      <w:pPr>
        <w:pStyle w:val="ListParagraph"/>
        <w:numPr>
          <w:ilvl w:val="0"/>
          <w:numId w:val="1"/>
        </w:numPr>
        <w:spacing w:after="0" w:line="240" w:lineRule="auto"/>
        <w:rPr>
          <w:sz w:val="20"/>
        </w:rPr>
      </w:pPr>
      <w:r w:rsidRPr="00025B08">
        <w:rPr>
          <w:sz w:val="20"/>
        </w:rPr>
        <w:t xml:space="preserve">Mechanical ventilation </w:t>
      </w:r>
      <w:r w:rsidR="007A237D" w:rsidRPr="00025B08">
        <w:rPr>
          <w:rFonts w:cstheme="minorHAnsi"/>
          <w:sz w:val="20"/>
        </w:rPr>
        <w:t>for greater than 48 hours</w:t>
      </w:r>
    </w:p>
    <w:p w14:paraId="733B65CE" w14:textId="77777777" w:rsidR="00027D87" w:rsidRPr="00025B08" w:rsidRDefault="00027D87" w:rsidP="00027D87">
      <w:pPr>
        <w:pStyle w:val="ListParagraph"/>
        <w:numPr>
          <w:ilvl w:val="0"/>
          <w:numId w:val="1"/>
        </w:numPr>
        <w:spacing w:after="0" w:line="240" w:lineRule="auto"/>
        <w:rPr>
          <w:sz w:val="20"/>
        </w:rPr>
      </w:pPr>
      <w:r w:rsidRPr="00025B08">
        <w:rPr>
          <w:rFonts w:cstheme="minorHAnsi"/>
          <w:sz w:val="20"/>
        </w:rPr>
        <w:t>Coagulopathy defined as platelet count &lt;50,000/μL, INR &gt;1.5, or PTT 2x control</w:t>
      </w:r>
    </w:p>
    <w:p w14:paraId="48BD93A2" w14:textId="77777777" w:rsidR="007A237D" w:rsidRPr="00025B08" w:rsidRDefault="007A237D" w:rsidP="00027D87">
      <w:pPr>
        <w:pStyle w:val="ListParagraph"/>
        <w:numPr>
          <w:ilvl w:val="0"/>
          <w:numId w:val="1"/>
        </w:numPr>
        <w:spacing w:after="0" w:line="240" w:lineRule="auto"/>
        <w:rPr>
          <w:sz w:val="20"/>
        </w:rPr>
      </w:pPr>
      <w:r w:rsidRPr="00025B08">
        <w:rPr>
          <w:sz w:val="20"/>
        </w:rPr>
        <w:t xml:space="preserve">Traumatic head injuries with a </w:t>
      </w:r>
      <w:hyperlink r:id="rId13" w:history="1">
        <w:r w:rsidRPr="00025B08">
          <w:rPr>
            <w:rStyle w:val="Hyperlink"/>
            <w:sz w:val="20"/>
          </w:rPr>
          <w:t>Glasgow Coma Score</w:t>
        </w:r>
      </w:hyperlink>
      <w:r w:rsidRPr="00025B08">
        <w:rPr>
          <w:sz w:val="20"/>
        </w:rPr>
        <w:t xml:space="preserve"> </w:t>
      </w:r>
      <w:r w:rsidRPr="00025B08">
        <w:rPr>
          <w:rFonts w:cstheme="minorHAnsi"/>
          <w:sz w:val="20"/>
        </w:rPr>
        <w:t>≤</w:t>
      </w:r>
      <w:r w:rsidRPr="00025B08">
        <w:rPr>
          <w:sz w:val="20"/>
        </w:rPr>
        <w:t>10 or inability to follow simple commands</w:t>
      </w:r>
    </w:p>
    <w:p w14:paraId="2BD59B2C" w14:textId="77777777" w:rsidR="007A237D" w:rsidRPr="00025B08" w:rsidRDefault="007A237D" w:rsidP="00027D87">
      <w:pPr>
        <w:pStyle w:val="ListParagraph"/>
        <w:numPr>
          <w:ilvl w:val="0"/>
          <w:numId w:val="1"/>
        </w:numPr>
        <w:spacing w:after="0" w:line="240" w:lineRule="auto"/>
        <w:rPr>
          <w:sz w:val="20"/>
        </w:rPr>
      </w:pPr>
      <w:r w:rsidRPr="00025B08">
        <w:rPr>
          <w:sz w:val="20"/>
        </w:rPr>
        <w:t>Burns affecting &gt;35% of total body surface area</w:t>
      </w:r>
    </w:p>
    <w:p w14:paraId="3CAEC159" w14:textId="77777777" w:rsidR="007A237D" w:rsidRPr="00025B08" w:rsidRDefault="007A237D" w:rsidP="00027D87">
      <w:pPr>
        <w:pStyle w:val="ListParagraph"/>
        <w:numPr>
          <w:ilvl w:val="0"/>
          <w:numId w:val="1"/>
        </w:numPr>
        <w:spacing w:after="0" w:line="240" w:lineRule="auto"/>
        <w:rPr>
          <w:sz w:val="20"/>
        </w:rPr>
      </w:pPr>
      <w:r w:rsidRPr="00025B08">
        <w:rPr>
          <w:sz w:val="20"/>
        </w:rPr>
        <w:t xml:space="preserve">Major trauma with an </w:t>
      </w:r>
      <w:hyperlink r:id="rId14" w:history="1">
        <w:r w:rsidRPr="00025B08">
          <w:rPr>
            <w:rStyle w:val="Hyperlink"/>
            <w:sz w:val="20"/>
          </w:rPr>
          <w:t>Injury Severity Score</w:t>
        </w:r>
      </w:hyperlink>
      <w:r w:rsidRPr="00025B08">
        <w:rPr>
          <w:sz w:val="20"/>
        </w:rPr>
        <w:t xml:space="preserve"> </w:t>
      </w:r>
      <w:r w:rsidRPr="00025B08">
        <w:rPr>
          <w:rFonts w:cstheme="minorHAnsi"/>
          <w:sz w:val="20"/>
        </w:rPr>
        <w:t>≥</w:t>
      </w:r>
      <w:r w:rsidRPr="00025B08">
        <w:rPr>
          <w:sz w:val="20"/>
        </w:rPr>
        <w:t>16</w:t>
      </w:r>
    </w:p>
    <w:p w14:paraId="173C4F6C" w14:textId="77777777" w:rsidR="00027D87" w:rsidRPr="00025B08" w:rsidRDefault="007A237D" w:rsidP="00027D87">
      <w:pPr>
        <w:pStyle w:val="ListParagraph"/>
        <w:numPr>
          <w:ilvl w:val="0"/>
          <w:numId w:val="1"/>
        </w:numPr>
        <w:spacing w:after="0" w:line="240" w:lineRule="auto"/>
        <w:rPr>
          <w:sz w:val="20"/>
        </w:rPr>
      </w:pPr>
      <w:r w:rsidRPr="00025B08">
        <w:rPr>
          <w:rFonts w:cstheme="minorHAnsi"/>
          <w:sz w:val="20"/>
        </w:rPr>
        <w:t>Spinal cord injury</w:t>
      </w:r>
    </w:p>
    <w:p w14:paraId="7FBF9EC6" w14:textId="77777777" w:rsidR="007A237D" w:rsidRPr="00025B08" w:rsidRDefault="007A237D" w:rsidP="00027D87">
      <w:pPr>
        <w:pStyle w:val="ListParagraph"/>
        <w:numPr>
          <w:ilvl w:val="0"/>
          <w:numId w:val="1"/>
        </w:numPr>
        <w:spacing w:after="0" w:line="240" w:lineRule="auto"/>
        <w:rPr>
          <w:sz w:val="20"/>
        </w:rPr>
      </w:pPr>
      <w:r w:rsidRPr="00025B08">
        <w:rPr>
          <w:rFonts w:cstheme="minorHAnsi"/>
          <w:sz w:val="20"/>
        </w:rPr>
        <w:t>Partial hepatectomy</w:t>
      </w:r>
    </w:p>
    <w:p w14:paraId="753B0923" w14:textId="77777777" w:rsidR="00027D87" w:rsidRPr="00025B08" w:rsidRDefault="007A237D" w:rsidP="00027D87">
      <w:pPr>
        <w:pStyle w:val="ListParagraph"/>
        <w:numPr>
          <w:ilvl w:val="0"/>
          <w:numId w:val="1"/>
        </w:numPr>
        <w:spacing w:after="0" w:line="240" w:lineRule="auto"/>
        <w:rPr>
          <w:sz w:val="20"/>
        </w:rPr>
      </w:pPr>
      <w:r w:rsidRPr="00025B08">
        <w:rPr>
          <w:rFonts w:cstheme="minorHAnsi"/>
          <w:sz w:val="20"/>
        </w:rPr>
        <w:t>Solid organ transplantation perioperatively in the ICU setting</w:t>
      </w:r>
    </w:p>
    <w:p w14:paraId="74DA839D" w14:textId="77777777" w:rsidR="004479A4" w:rsidRPr="00025B08" w:rsidRDefault="007E7738" w:rsidP="00027D87">
      <w:pPr>
        <w:pStyle w:val="ListParagraph"/>
        <w:numPr>
          <w:ilvl w:val="0"/>
          <w:numId w:val="1"/>
        </w:numPr>
        <w:spacing w:after="0" w:line="240" w:lineRule="auto"/>
        <w:rPr>
          <w:sz w:val="20"/>
        </w:rPr>
      </w:pPr>
      <w:r>
        <w:rPr>
          <w:rFonts w:cstheme="minorHAnsi"/>
          <w:sz w:val="20"/>
        </w:rPr>
        <w:t>A</w:t>
      </w:r>
      <w:r w:rsidR="004A65F0" w:rsidRPr="00025B08">
        <w:rPr>
          <w:rFonts w:cstheme="minorHAnsi"/>
          <w:sz w:val="20"/>
        </w:rPr>
        <w:t xml:space="preserve">ntiplatelet therapy </w:t>
      </w:r>
      <w:r w:rsidR="007A237D" w:rsidRPr="00025B08">
        <w:rPr>
          <w:rFonts w:cstheme="minorHAnsi"/>
          <w:sz w:val="20"/>
        </w:rPr>
        <w:t>(</w:t>
      </w:r>
      <w:r w:rsidR="00B722E1" w:rsidRPr="00025B08">
        <w:rPr>
          <w:rFonts w:cstheme="minorHAnsi"/>
          <w:sz w:val="20"/>
        </w:rPr>
        <w:t xml:space="preserve">usually </w:t>
      </w:r>
      <w:r w:rsidR="00780B88" w:rsidRPr="00025B08">
        <w:rPr>
          <w:rFonts w:cstheme="minorHAnsi"/>
          <w:sz w:val="20"/>
        </w:rPr>
        <w:t>aspirin</w:t>
      </w:r>
      <w:r w:rsidR="00B722E1" w:rsidRPr="00025B08">
        <w:rPr>
          <w:rFonts w:cstheme="minorHAnsi"/>
          <w:sz w:val="20"/>
        </w:rPr>
        <w:t xml:space="preserve"> +</w:t>
      </w:r>
      <w:r w:rsidR="00780B88" w:rsidRPr="00025B08">
        <w:rPr>
          <w:rFonts w:cstheme="minorHAnsi"/>
          <w:sz w:val="20"/>
        </w:rPr>
        <w:t xml:space="preserve"> </w:t>
      </w:r>
      <w:r w:rsidR="004A65F0" w:rsidRPr="00025B08">
        <w:rPr>
          <w:rFonts w:cstheme="minorHAnsi"/>
          <w:sz w:val="20"/>
        </w:rPr>
        <w:t xml:space="preserve">clopidogrel, prasugrel, </w:t>
      </w:r>
      <w:r w:rsidR="00B722E1" w:rsidRPr="00025B08">
        <w:rPr>
          <w:rFonts w:cstheme="minorHAnsi"/>
          <w:sz w:val="20"/>
        </w:rPr>
        <w:t xml:space="preserve">or </w:t>
      </w:r>
      <w:r w:rsidR="004A65F0" w:rsidRPr="00025B08">
        <w:rPr>
          <w:rFonts w:cstheme="minorHAnsi"/>
          <w:sz w:val="20"/>
        </w:rPr>
        <w:t>ticagrelor) in patients at high risk for GI bleeding (</w:t>
      </w:r>
      <w:r w:rsidR="0008542C" w:rsidRPr="00025B08">
        <w:rPr>
          <w:rFonts w:cstheme="minorHAnsi"/>
          <w:sz w:val="20"/>
        </w:rPr>
        <w:t xml:space="preserve">prior </w:t>
      </w:r>
      <w:r w:rsidR="004A65F0" w:rsidRPr="00025B08">
        <w:rPr>
          <w:rFonts w:cstheme="minorHAnsi"/>
          <w:sz w:val="20"/>
        </w:rPr>
        <w:t>history of GI bleeding; age &gt;6</w:t>
      </w:r>
      <w:r w:rsidR="00B722E1" w:rsidRPr="00025B08">
        <w:rPr>
          <w:rFonts w:cstheme="minorHAnsi"/>
          <w:sz w:val="20"/>
        </w:rPr>
        <w:t>0</w:t>
      </w:r>
      <w:r w:rsidR="004A65F0" w:rsidRPr="00025B08">
        <w:rPr>
          <w:rFonts w:cstheme="minorHAnsi"/>
          <w:sz w:val="20"/>
        </w:rPr>
        <w:t xml:space="preserve"> years; concurrent use of anticoagulants, corticosteroids, or NSAID; </w:t>
      </w:r>
      <w:r w:rsidR="004A65F0" w:rsidRPr="00025B08">
        <w:rPr>
          <w:rFonts w:cstheme="minorHAnsi"/>
          <w:i/>
          <w:sz w:val="20"/>
        </w:rPr>
        <w:t xml:space="preserve">Helicobacter pylori </w:t>
      </w:r>
      <w:r w:rsidR="004A65F0" w:rsidRPr="00025B08">
        <w:rPr>
          <w:rFonts w:cstheme="minorHAnsi"/>
          <w:sz w:val="20"/>
        </w:rPr>
        <w:t>infection)</w:t>
      </w:r>
    </w:p>
    <w:p w14:paraId="7DF820A2" w14:textId="77777777" w:rsidR="00EF6B14" w:rsidRPr="00025B08" w:rsidRDefault="004479A4" w:rsidP="00027D87">
      <w:pPr>
        <w:pStyle w:val="ListParagraph"/>
        <w:numPr>
          <w:ilvl w:val="0"/>
          <w:numId w:val="1"/>
        </w:numPr>
        <w:spacing w:after="0" w:line="240" w:lineRule="auto"/>
        <w:rPr>
          <w:sz w:val="20"/>
        </w:rPr>
      </w:pPr>
      <w:r w:rsidRPr="00025B08">
        <w:rPr>
          <w:rFonts w:cstheme="minorHAnsi"/>
          <w:sz w:val="20"/>
        </w:rPr>
        <w:t xml:space="preserve">Long-term </w:t>
      </w:r>
      <w:r w:rsidR="00EF6B14" w:rsidRPr="00025B08">
        <w:rPr>
          <w:rFonts w:cstheme="minorHAnsi"/>
          <w:sz w:val="20"/>
        </w:rPr>
        <w:t>NSAID use in patients with moderate to high risk of GI bleeding</w:t>
      </w:r>
    </w:p>
    <w:p w14:paraId="3308D7C5" w14:textId="77777777" w:rsidR="005C718F" w:rsidRPr="00025B08" w:rsidRDefault="00EF6B14" w:rsidP="00EF6B14">
      <w:pPr>
        <w:pStyle w:val="ListParagraph"/>
        <w:numPr>
          <w:ilvl w:val="1"/>
          <w:numId w:val="1"/>
        </w:numPr>
        <w:spacing w:after="0" w:line="240" w:lineRule="auto"/>
        <w:rPr>
          <w:sz w:val="20"/>
        </w:rPr>
      </w:pPr>
      <w:r w:rsidRPr="00025B08">
        <w:rPr>
          <w:rFonts w:cstheme="minorHAnsi"/>
          <w:sz w:val="20"/>
        </w:rPr>
        <w:t>Moderate risk is defined as 1</w:t>
      </w:r>
      <w:r w:rsidR="00025B08">
        <w:rPr>
          <w:rFonts w:cstheme="minorHAnsi"/>
          <w:sz w:val="20"/>
        </w:rPr>
        <w:t xml:space="preserve"> or </w:t>
      </w:r>
      <w:r w:rsidRPr="00025B08">
        <w:rPr>
          <w:rFonts w:cstheme="minorHAnsi"/>
          <w:sz w:val="20"/>
        </w:rPr>
        <w:t>2 of the following risks: age &gt;65 years</w:t>
      </w:r>
      <w:r w:rsidR="005C718F" w:rsidRPr="00025B08">
        <w:rPr>
          <w:rFonts w:cstheme="minorHAnsi"/>
          <w:sz w:val="20"/>
        </w:rPr>
        <w:t>;</w:t>
      </w:r>
      <w:r w:rsidRPr="00025B08">
        <w:rPr>
          <w:rFonts w:cstheme="minorHAnsi"/>
          <w:sz w:val="20"/>
        </w:rPr>
        <w:t xml:space="preserve"> </w:t>
      </w:r>
      <w:hyperlink r:id="rId15" w:history="1">
        <w:r w:rsidRPr="00025B08">
          <w:rPr>
            <w:rStyle w:val="Hyperlink"/>
            <w:rFonts w:cstheme="minorHAnsi"/>
            <w:sz w:val="20"/>
          </w:rPr>
          <w:t>high dose NSAID</w:t>
        </w:r>
      </w:hyperlink>
      <w:r w:rsidRPr="00025B08">
        <w:rPr>
          <w:rFonts w:cstheme="minorHAnsi"/>
          <w:sz w:val="20"/>
        </w:rPr>
        <w:t xml:space="preserve"> therapy</w:t>
      </w:r>
      <w:r w:rsidR="005C718F" w:rsidRPr="00025B08">
        <w:rPr>
          <w:rFonts w:cstheme="minorHAnsi"/>
          <w:sz w:val="20"/>
        </w:rPr>
        <w:t xml:space="preserve"> (ibuprofen &gt;2400 mg daily, naproxen &gt;1000 mg daily, meloxicam &gt;7.5 mg daily); previous history of uncomplicated ulcer; concurrent use of aspirin, corticosteroids, or anticoagulants)</w:t>
      </w:r>
    </w:p>
    <w:p w14:paraId="754A7036" w14:textId="77777777" w:rsidR="007A237D" w:rsidRPr="00025B08" w:rsidRDefault="005C718F" w:rsidP="00EF6B14">
      <w:pPr>
        <w:pStyle w:val="ListParagraph"/>
        <w:numPr>
          <w:ilvl w:val="1"/>
          <w:numId w:val="1"/>
        </w:numPr>
        <w:spacing w:after="0" w:line="240" w:lineRule="auto"/>
        <w:rPr>
          <w:sz w:val="20"/>
        </w:rPr>
      </w:pPr>
      <w:r w:rsidRPr="00025B08">
        <w:rPr>
          <w:rFonts w:cstheme="minorHAnsi"/>
          <w:sz w:val="20"/>
        </w:rPr>
        <w:lastRenderedPageBreak/>
        <w:t>High risk is defined as history of complicated ulcer especially recent, or &gt;2 risk factors outline</w:t>
      </w:r>
      <w:r w:rsidR="00025B08">
        <w:rPr>
          <w:rFonts w:cstheme="minorHAnsi"/>
          <w:sz w:val="20"/>
        </w:rPr>
        <w:t>d</w:t>
      </w:r>
      <w:r w:rsidRPr="00025B08">
        <w:rPr>
          <w:rFonts w:cstheme="minorHAnsi"/>
          <w:sz w:val="20"/>
        </w:rPr>
        <w:t xml:space="preserve"> in the moderate risk group </w:t>
      </w:r>
      <w:r w:rsidR="004A65F0" w:rsidRPr="00025B08">
        <w:rPr>
          <w:rFonts w:cstheme="minorHAnsi"/>
          <w:i/>
          <w:sz w:val="20"/>
        </w:rPr>
        <w:t xml:space="preserve"> </w:t>
      </w:r>
      <w:r w:rsidR="00780B88" w:rsidRPr="00025B08">
        <w:rPr>
          <w:rFonts w:cstheme="minorHAnsi"/>
          <w:sz w:val="20"/>
        </w:rPr>
        <w:t xml:space="preserve"> </w:t>
      </w:r>
    </w:p>
    <w:p w14:paraId="43BFCB0B" w14:textId="77777777" w:rsidR="00027D87" w:rsidRPr="00025B08" w:rsidRDefault="00B722E1" w:rsidP="00027D87">
      <w:pPr>
        <w:pStyle w:val="ListParagraph"/>
        <w:numPr>
          <w:ilvl w:val="0"/>
          <w:numId w:val="1"/>
        </w:numPr>
        <w:spacing w:after="0" w:line="240" w:lineRule="auto"/>
        <w:rPr>
          <w:sz w:val="20"/>
        </w:rPr>
      </w:pPr>
      <w:r w:rsidRPr="00025B08">
        <w:rPr>
          <w:sz w:val="20"/>
        </w:rPr>
        <w:t>Any 2 of the following</w:t>
      </w:r>
    </w:p>
    <w:p w14:paraId="2FDD2F8D" w14:textId="77777777" w:rsidR="00B722E1" w:rsidRPr="00025B08" w:rsidRDefault="00B722E1" w:rsidP="00B722E1">
      <w:pPr>
        <w:pStyle w:val="ListParagraph"/>
        <w:numPr>
          <w:ilvl w:val="1"/>
          <w:numId w:val="1"/>
        </w:numPr>
        <w:spacing w:after="0" w:line="240" w:lineRule="auto"/>
        <w:rPr>
          <w:sz w:val="20"/>
        </w:rPr>
      </w:pPr>
      <w:r w:rsidRPr="00025B08">
        <w:rPr>
          <w:sz w:val="20"/>
        </w:rPr>
        <w:t>Sepsis</w:t>
      </w:r>
    </w:p>
    <w:p w14:paraId="537603CC" w14:textId="77777777" w:rsidR="00B722E1" w:rsidRPr="00025B08" w:rsidRDefault="00B722E1" w:rsidP="00B722E1">
      <w:pPr>
        <w:pStyle w:val="ListParagraph"/>
        <w:numPr>
          <w:ilvl w:val="1"/>
          <w:numId w:val="1"/>
        </w:numPr>
        <w:spacing w:after="0" w:line="240" w:lineRule="auto"/>
        <w:rPr>
          <w:sz w:val="20"/>
        </w:rPr>
      </w:pPr>
      <w:r w:rsidRPr="00025B08">
        <w:rPr>
          <w:sz w:val="20"/>
        </w:rPr>
        <w:t>ICU stay &gt; 7 days</w:t>
      </w:r>
    </w:p>
    <w:p w14:paraId="717C7F33" w14:textId="77777777" w:rsidR="00B722E1" w:rsidRPr="00025B08" w:rsidRDefault="00B722E1" w:rsidP="00B722E1">
      <w:pPr>
        <w:pStyle w:val="ListParagraph"/>
        <w:numPr>
          <w:ilvl w:val="1"/>
          <w:numId w:val="1"/>
        </w:numPr>
        <w:spacing w:after="0" w:line="240" w:lineRule="auto"/>
        <w:rPr>
          <w:sz w:val="20"/>
        </w:rPr>
      </w:pPr>
      <w:r w:rsidRPr="00025B08">
        <w:rPr>
          <w:sz w:val="20"/>
        </w:rPr>
        <w:t>Occult bleeding lasting more than 6 days</w:t>
      </w:r>
    </w:p>
    <w:p w14:paraId="5028BC6A" w14:textId="77777777" w:rsidR="00B722E1" w:rsidRPr="00025B08" w:rsidRDefault="00B722E1" w:rsidP="00F71C98">
      <w:pPr>
        <w:pStyle w:val="ListParagraph"/>
        <w:numPr>
          <w:ilvl w:val="1"/>
          <w:numId w:val="1"/>
        </w:numPr>
        <w:spacing w:after="0" w:line="240" w:lineRule="auto"/>
        <w:rPr>
          <w:sz w:val="20"/>
        </w:rPr>
      </w:pPr>
      <w:r w:rsidRPr="00025B08">
        <w:rPr>
          <w:sz w:val="20"/>
        </w:rPr>
        <w:t xml:space="preserve">High dose corticosteroids </w:t>
      </w:r>
      <w:r w:rsidR="00025B08" w:rsidRPr="00025B08">
        <w:rPr>
          <w:sz w:val="20"/>
        </w:rPr>
        <w:t>(&gt; 250 mg/day of hydrocorti</w:t>
      </w:r>
      <w:r w:rsidR="00025B08">
        <w:rPr>
          <w:sz w:val="20"/>
        </w:rPr>
        <w:t>s</w:t>
      </w:r>
      <w:r w:rsidR="00025B08" w:rsidRPr="00025B08">
        <w:rPr>
          <w:sz w:val="20"/>
        </w:rPr>
        <w:t>one</w:t>
      </w:r>
      <w:r w:rsidR="00025B08">
        <w:rPr>
          <w:sz w:val="20"/>
        </w:rPr>
        <w:t>, &gt;50 mg/day of methylprednisolone, &gt;60 mg/day of prednisone, &gt;10 mg/day of dexamethasone)</w:t>
      </w:r>
    </w:p>
    <w:p w14:paraId="6F1C633B" w14:textId="77777777" w:rsidR="0098690A" w:rsidRDefault="0098690A" w:rsidP="005C718F">
      <w:pPr>
        <w:spacing w:after="0" w:line="240" w:lineRule="auto"/>
        <w:rPr>
          <w:sz w:val="20"/>
        </w:rPr>
      </w:pPr>
    </w:p>
    <w:p w14:paraId="45D11622" w14:textId="7595CBE2" w:rsidR="005C718F" w:rsidRPr="002C0E3F" w:rsidRDefault="00C33168" w:rsidP="005C718F">
      <w:pPr>
        <w:spacing w:after="0" w:line="240" w:lineRule="auto"/>
        <w:rPr>
          <w:sz w:val="20"/>
          <w:u w:val="single"/>
        </w:rPr>
      </w:pPr>
      <w:r w:rsidRPr="002C0E3F">
        <w:rPr>
          <w:sz w:val="20"/>
          <w:u w:val="single"/>
        </w:rPr>
        <w:t xml:space="preserve">Patients </w:t>
      </w:r>
      <w:r w:rsidR="001C3341" w:rsidRPr="002C0E3F">
        <w:rPr>
          <w:sz w:val="20"/>
          <w:u w:val="single"/>
        </w:rPr>
        <w:t xml:space="preserve">started on a PPI for prophylaxis of any of the conditions above should not have them continued upon discharge unless a chronic condition exists that requires their use.  </w:t>
      </w:r>
    </w:p>
    <w:p w14:paraId="6496C78A" w14:textId="77777777" w:rsidR="00FB0CB4" w:rsidRDefault="00FB0CB4" w:rsidP="00FB0CB4">
      <w:pPr>
        <w:spacing w:after="0" w:line="240" w:lineRule="auto"/>
        <w:rPr>
          <w:sz w:val="20"/>
        </w:rPr>
      </w:pPr>
    </w:p>
    <w:p w14:paraId="0771D586" w14:textId="19533621" w:rsidR="00027D87" w:rsidRDefault="00FB0CB4" w:rsidP="00FB0CB4">
      <w:pPr>
        <w:spacing w:after="0" w:line="240" w:lineRule="auto"/>
        <w:rPr>
          <w:sz w:val="20"/>
        </w:rPr>
      </w:pPr>
      <w:r>
        <w:rPr>
          <w:sz w:val="20"/>
        </w:rPr>
        <w:t>Besides reviewing the indication of PPI use for appropriateness, the dose and duration of therapy should also be evaluated.  As with all medications, the lowest possible dose and shortest duration of therapy should be employed.  When the inciting factor (e.g., removal of the hypersecretory</w:t>
      </w:r>
      <w:bookmarkStart w:id="0" w:name="_GoBack"/>
      <w:bookmarkEnd w:id="0"/>
      <w:r>
        <w:rPr>
          <w:sz w:val="20"/>
        </w:rPr>
        <w:t xml:space="preserve"> tumor in Zollinger-Ellison Syndrome or discontinuation of chronic NSAID) is no longer present, </w:t>
      </w:r>
      <w:r w:rsidR="00AD37B5">
        <w:rPr>
          <w:sz w:val="20"/>
        </w:rPr>
        <w:t xml:space="preserve">discontinuation of PPI should be </w:t>
      </w:r>
      <w:r w:rsidR="003C3B60">
        <w:rPr>
          <w:sz w:val="20"/>
        </w:rPr>
        <w:t>considered</w:t>
      </w:r>
      <w:r>
        <w:rPr>
          <w:sz w:val="20"/>
        </w:rPr>
        <w:t xml:space="preserve">. </w:t>
      </w:r>
    </w:p>
    <w:p w14:paraId="15391551" w14:textId="49F39101" w:rsidR="002C2D89" w:rsidRDefault="002C2D89" w:rsidP="00FB0CB4">
      <w:pPr>
        <w:spacing w:after="0" w:line="240" w:lineRule="auto"/>
        <w:rPr>
          <w:sz w:val="20"/>
        </w:rPr>
      </w:pPr>
    </w:p>
    <w:p w14:paraId="200E9F45" w14:textId="262C40BC" w:rsidR="002C2D89" w:rsidRDefault="002C2D89" w:rsidP="00FB0CB4">
      <w:pPr>
        <w:spacing w:after="0" w:line="240" w:lineRule="auto"/>
        <w:rPr>
          <w:sz w:val="20"/>
        </w:rPr>
      </w:pPr>
      <w:r>
        <w:rPr>
          <w:sz w:val="20"/>
        </w:rPr>
        <w:t>Acid suppression and especially PPI</w:t>
      </w:r>
      <w:r w:rsidR="0098690A">
        <w:rPr>
          <w:sz w:val="20"/>
        </w:rPr>
        <w:t>’s</w:t>
      </w:r>
      <w:r>
        <w:rPr>
          <w:sz w:val="20"/>
        </w:rPr>
        <w:t xml:space="preserve"> are associated with increased risk of C. difficile infection (CDI) relapse.</w:t>
      </w:r>
      <w:r>
        <w:rPr>
          <w:sz w:val="20"/>
          <w:vertAlign w:val="superscript"/>
        </w:rPr>
        <w:t>7</w:t>
      </w:r>
      <w:r w:rsidR="00DD58E8">
        <w:rPr>
          <w:sz w:val="20"/>
          <w:vertAlign w:val="superscript"/>
        </w:rPr>
        <w:t>,13</w:t>
      </w:r>
      <w:r>
        <w:rPr>
          <w:sz w:val="20"/>
        </w:rPr>
        <w:t xml:space="preserve"> CDI patients should have PPI use evaluated closely and the agent discontinued if medically possible.  If acid suppression is still necessary, consider changing to an H2-blocking agent if medically appropriate.  </w:t>
      </w:r>
    </w:p>
    <w:p w14:paraId="351927BC" w14:textId="77777777" w:rsidR="00FB0CB4" w:rsidRDefault="00FB0CB4" w:rsidP="00FB0CB4">
      <w:pPr>
        <w:spacing w:after="0" w:line="240" w:lineRule="auto"/>
        <w:rPr>
          <w:sz w:val="20"/>
        </w:rPr>
      </w:pPr>
    </w:p>
    <w:p w14:paraId="1C15B7D8" w14:textId="77777777" w:rsidR="00EC04D3" w:rsidRDefault="00EC04D3" w:rsidP="002132A9">
      <w:pPr>
        <w:pStyle w:val="Footer"/>
        <w:rPr>
          <w:sz w:val="18"/>
        </w:rPr>
      </w:pPr>
    </w:p>
    <w:p w14:paraId="7A701A55" w14:textId="77777777" w:rsidR="002132A9" w:rsidRPr="002132A9" w:rsidRDefault="002132A9" w:rsidP="002132A9">
      <w:pPr>
        <w:pStyle w:val="Footer"/>
        <w:rPr>
          <w:sz w:val="20"/>
        </w:rPr>
      </w:pPr>
      <w:r w:rsidRPr="002132A9">
        <w:rPr>
          <w:b/>
          <w:sz w:val="20"/>
        </w:rPr>
        <w:t>Created by:</w:t>
      </w:r>
      <w:r w:rsidRPr="002132A9">
        <w:rPr>
          <w:sz w:val="20"/>
        </w:rPr>
        <w:t xml:space="preserve"> Phil Chung, PharmD, MS, BCPS, BCIDP, AAHIVP</w:t>
      </w:r>
    </w:p>
    <w:p w14:paraId="39AF35E7" w14:textId="77777777" w:rsidR="002132A9" w:rsidRPr="002132A9" w:rsidRDefault="002132A9" w:rsidP="002132A9">
      <w:pPr>
        <w:pStyle w:val="Footer"/>
        <w:rPr>
          <w:sz w:val="20"/>
        </w:rPr>
      </w:pPr>
    </w:p>
    <w:p w14:paraId="11B39EAF" w14:textId="77777777" w:rsidR="002132A9" w:rsidRPr="002132A9" w:rsidRDefault="002132A9" w:rsidP="002132A9">
      <w:pPr>
        <w:pStyle w:val="Footer"/>
        <w:rPr>
          <w:sz w:val="20"/>
        </w:rPr>
      </w:pPr>
      <w:r w:rsidRPr="002132A9">
        <w:rPr>
          <w:b/>
          <w:sz w:val="20"/>
        </w:rPr>
        <w:t>Reviewed by:</w:t>
      </w:r>
      <w:r w:rsidRPr="002132A9">
        <w:rPr>
          <w:sz w:val="20"/>
        </w:rPr>
        <w:t xml:space="preserve"> Trevor Van Schooneveld, MD; Salman Ashraf, MBBS; Andrew Watkins, PharmD; Scott Bergman, PharmD; Kate Tyner, BSN, RN, CIC</w:t>
      </w:r>
    </w:p>
    <w:p w14:paraId="4E0D973F" w14:textId="77777777" w:rsidR="002132A9" w:rsidRDefault="002132A9" w:rsidP="00FB0CB4">
      <w:pPr>
        <w:spacing w:after="0" w:line="240" w:lineRule="auto"/>
        <w:rPr>
          <w:sz w:val="20"/>
        </w:rPr>
      </w:pPr>
    </w:p>
    <w:p w14:paraId="211617AA" w14:textId="77777777" w:rsidR="00FB0CB4" w:rsidRDefault="00FB0CB4" w:rsidP="00FB0CB4">
      <w:pPr>
        <w:spacing w:after="0" w:line="240" w:lineRule="auto"/>
        <w:rPr>
          <w:sz w:val="20"/>
        </w:rPr>
      </w:pPr>
    </w:p>
    <w:p w14:paraId="378FA0B9" w14:textId="77777777" w:rsidR="00EC04D3" w:rsidRPr="00FB0CB4" w:rsidRDefault="00EC04D3" w:rsidP="00FB0CB4">
      <w:pPr>
        <w:spacing w:after="0" w:line="240" w:lineRule="auto"/>
        <w:rPr>
          <w:sz w:val="20"/>
        </w:rPr>
      </w:pPr>
    </w:p>
    <w:p w14:paraId="6796895B" w14:textId="77777777" w:rsidR="001F2372" w:rsidRPr="002132A9" w:rsidRDefault="001F2372" w:rsidP="00027D87">
      <w:pPr>
        <w:spacing w:after="0" w:line="240" w:lineRule="auto"/>
        <w:rPr>
          <w:b/>
          <w:sz w:val="20"/>
          <w:szCs w:val="18"/>
        </w:rPr>
      </w:pPr>
      <w:r w:rsidRPr="002132A9">
        <w:rPr>
          <w:b/>
          <w:sz w:val="20"/>
          <w:szCs w:val="18"/>
        </w:rPr>
        <w:t>References</w:t>
      </w:r>
    </w:p>
    <w:p w14:paraId="15205588" w14:textId="77777777" w:rsidR="001F2372" w:rsidRPr="00A80092" w:rsidRDefault="001F2372" w:rsidP="001F2372">
      <w:pPr>
        <w:pStyle w:val="ListParagraph"/>
        <w:numPr>
          <w:ilvl w:val="0"/>
          <w:numId w:val="2"/>
        </w:numPr>
        <w:spacing w:after="0" w:line="240" w:lineRule="auto"/>
        <w:rPr>
          <w:sz w:val="18"/>
          <w:szCs w:val="18"/>
        </w:rPr>
      </w:pPr>
      <w:r w:rsidRPr="00A80092">
        <w:rPr>
          <w:sz w:val="18"/>
          <w:szCs w:val="18"/>
        </w:rPr>
        <w:t xml:space="preserve">Park HC, Kim EH, </w:t>
      </w:r>
      <w:proofErr w:type="spellStart"/>
      <w:r w:rsidRPr="00A80092">
        <w:rPr>
          <w:sz w:val="18"/>
          <w:szCs w:val="18"/>
        </w:rPr>
        <w:t>Roh</w:t>
      </w:r>
      <w:proofErr w:type="spellEnd"/>
      <w:r w:rsidRPr="00A80092">
        <w:rPr>
          <w:sz w:val="18"/>
          <w:szCs w:val="18"/>
        </w:rPr>
        <w:t xml:space="preserve"> YH, Kim HY, </w:t>
      </w:r>
      <w:r w:rsidR="0008542C">
        <w:rPr>
          <w:i/>
          <w:sz w:val="18"/>
          <w:szCs w:val="18"/>
        </w:rPr>
        <w:t>et al</w:t>
      </w:r>
      <w:r w:rsidRPr="00A80092">
        <w:rPr>
          <w:sz w:val="18"/>
          <w:szCs w:val="18"/>
        </w:rPr>
        <w:t xml:space="preserve">. The association between the </w:t>
      </w:r>
      <w:proofErr w:type="gramStart"/>
      <w:r w:rsidRPr="00A80092">
        <w:rPr>
          <w:sz w:val="18"/>
          <w:szCs w:val="18"/>
        </w:rPr>
        <w:t>use</w:t>
      </w:r>
      <w:proofErr w:type="gramEnd"/>
      <w:r w:rsidRPr="00A80092">
        <w:rPr>
          <w:sz w:val="18"/>
          <w:szCs w:val="18"/>
        </w:rPr>
        <w:t xml:space="preserve"> of proton pump inhibitors and the risk of hypomagnesemia: a systematic review and meta-analysis. PLOS One 2014 Nov 13</w:t>
      </w:r>
      <w:proofErr w:type="gramStart"/>
      <w:r w:rsidRPr="00A80092">
        <w:rPr>
          <w:sz w:val="18"/>
          <w:szCs w:val="18"/>
        </w:rPr>
        <w:t>;9</w:t>
      </w:r>
      <w:proofErr w:type="gramEnd"/>
      <w:r w:rsidRPr="00A80092">
        <w:rPr>
          <w:sz w:val="18"/>
          <w:szCs w:val="18"/>
        </w:rPr>
        <w:t>(11):e112558.</w:t>
      </w:r>
    </w:p>
    <w:p w14:paraId="147E0459" w14:textId="77777777" w:rsidR="001F2372" w:rsidRPr="00A80092" w:rsidRDefault="001F2372" w:rsidP="001F2372">
      <w:pPr>
        <w:pStyle w:val="ListParagraph"/>
        <w:numPr>
          <w:ilvl w:val="0"/>
          <w:numId w:val="2"/>
        </w:numPr>
        <w:spacing w:after="0" w:line="240" w:lineRule="auto"/>
        <w:rPr>
          <w:sz w:val="18"/>
          <w:szCs w:val="18"/>
        </w:rPr>
      </w:pPr>
      <w:r w:rsidRPr="00A80092">
        <w:rPr>
          <w:sz w:val="18"/>
          <w:szCs w:val="18"/>
        </w:rPr>
        <w:t xml:space="preserve">Lam JR, Schneider JL, Zhao W, </w:t>
      </w:r>
      <w:r w:rsidR="0008542C">
        <w:rPr>
          <w:i/>
          <w:sz w:val="18"/>
          <w:szCs w:val="18"/>
        </w:rPr>
        <w:t>et al</w:t>
      </w:r>
      <w:r w:rsidRPr="00A80092">
        <w:rPr>
          <w:sz w:val="18"/>
          <w:szCs w:val="18"/>
        </w:rPr>
        <w:t>. Proton pump inhibitor and histamine 2 receptor antagonist use and vitamin B12 deficiency. JAMA 2013</w:t>
      </w:r>
      <w:proofErr w:type="gramStart"/>
      <w:r w:rsidRPr="00A80092">
        <w:rPr>
          <w:sz w:val="18"/>
          <w:szCs w:val="18"/>
        </w:rPr>
        <w:t>;310:2435</w:t>
      </w:r>
      <w:proofErr w:type="gramEnd"/>
      <w:r w:rsidRPr="00A80092">
        <w:rPr>
          <w:sz w:val="18"/>
          <w:szCs w:val="18"/>
        </w:rPr>
        <w:t>-42.</w:t>
      </w:r>
    </w:p>
    <w:p w14:paraId="417977D0" w14:textId="77777777" w:rsidR="001F2372" w:rsidRPr="00A80092" w:rsidRDefault="001F2372" w:rsidP="001F2372">
      <w:pPr>
        <w:pStyle w:val="ListParagraph"/>
        <w:numPr>
          <w:ilvl w:val="0"/>
          <w:numId w:val="2"/>
        </w:numPr>
        <w:spacing w:after="0" w:line="240" w:lineRule="auto"/>
        <w:rPr>
          <w:sz w:val="18"/>
          <w:szCs w:val="18"/>
        </w:rPr>
      </w:pPr>
      <w:r w:rsidRPr="00A80092">
        <w:rPr>
          <w:sz w:val="18"/>
          <w:szCs w:val="18"/>
        </w:rPr>
        <w:t xml:space="preserve">Yang YX, Lewis JD, Epstein S, </w:t>
      </w:r>
      <w:r w:rsidR="0008542C">
        <w:rPr>
          <w:i/>
          <w:sz w:val="18"/>
          <w:szCs w:val="18"/>
        </w:rPr>
        <w:t>et al</w:t>
      </w:r>
      <w:r w:rsidRPr="00A80092">
        <w:rPr>
          <w:sz w:val="18"/>
          <w:szCs w:val="18"/>
        </w:rPr>
        <w:t>. Long-term proton pump inhibitor therapy and risk of hip fracture. JAMA 2006</w:t>
      </w:r>
      <w:proofErr w:type="gramStart"/>
      <w:r w:rsidRPr="00A80092">
        <w:rPr>
          <w:sz w:val="18"/>
          <w:szCs w:val="18"/>
        </w:rPr>
        <w:t>;296:2947</w:t>
      </w:r>
      <w:proofErr w:type="gramEnd"/>
      <w:r w:rsidRPr="00A80092">
        <w:rPr>
          <w:sz w:val="18"/>
          <w:szCs w:val="18"/>
        </w:rPr>
        <w:t>-53.</w:t>
      </w:r>
    </w:p>
    <w:p w14:paraId="6BF64A37" w14:textId="77777777" w:rsidR="00A80092" w:rsidRPr="00A80092" w:rsidRDefault="00A80092" w:rsidP="001F2372">
      <w:pPr>
        <w:pStyle w:val="ListParagraph"/>
        <w:numPr>
          <w:ilvl w:val="0"/>
          <w:numId w:val="2"/>
        </w:numPr>
        <w:spacing w:after="0" w:line="240" w:lineRule="auto"/>
        <w:rPr>
          <w:sz w:val="18"/>
          <w:szCs w:val="18"/>
        </w:rPr>
      </w:pPr>
      <w:r w:rsidRPr="00A80092">
        <w:rPr>
          <w:sz w:val="18"/>
          <w:szCs w:val="18"/>
        </w:rPr>
        <w:t xml:space="preserve">Lazarus B, Chen Y, Wilson FP, </w:t>
      </w:r>
      <w:r w:rsidRPr="00A80092">
        <w:rPr>
          <w:i/>
          <w:sz w:val="18"/>
          <w:szCs w:val="18"/>
        </w:rPr>
        <w:t>et al</w:t>
      </w:r>
      <w:r w:rsidRPr="00A80092">
        <w:rPr>
          <w:sz w:val="18"/>
          <w:szCs w:val="18"/>
        </w:rPr>
        <w:t>. Proton pump inhibitor use and the risk of chronic kidney disease. JAMA Intern Med 2016</w:t>
      </w:r>
      <w:proofErr w:type="gramStart"/>
      <w:r w:rsidRPr="00A80092">
        <w:rPr>
          <w:sz w:val="18"/>
          <w:szCs w:val="18"/>
        </w:rPr>
        <w:t>;176:238</w:t>
      </w:r>
      <w:proofErr w:type="gramEnd"/>
      <w:r w:rsidRPr="00A80092">
        <w:rPr>
          <w:sz w:val="18"/>
          <w:szCs w:val="18"/>
        </w:rPr>
        <w:t>-46.</w:t>
      </w:r>
    </w:p>
    <w:p w14:paraId="628A1025" w14:textId="77777777" w:rsidR="00DE4A1B" w:rsidRDefault="00DE4A1B" w:rsidP="001F2372">
      <w:pPr>
        <w:pStyle w:val="ListParagraph"/>
        <w:numPr>
          <w:ilvl w:val="0"/>
          <w:numId w:val="2"/>
        </w:numPr>
        <w:spacing w:after="0" w:line="240" w:lineRule="auto"/>
        <w:rPr>
          <w:sz w:val="18"/>
          <w:szCs w:val="18"/>
        </w:rPr>
      </w:pPr>
      <w:proofErr w:type="spellStart"/>
      <w:r>
        <w:rPr>
          <w:sz w:val="18"/>
          <w:szCs w:val="18"/>
        </w:rPr>
        <w:t>Zirk-Sadowski</w:t>
      </w:r>
      <w:proofErr w:type="spellEnd"/>
      <w:r>
        <w:rPr>
          <w:sz w:val="18"/>
          <w:szCs w:val="18"/>
        </w:rPr>
        <w:t xml:space="preserve"> J, </w:t>
      </w:r>
      <w:proofErr w:type="spellStart"/>
      <w:r>
        <w:rPr>
          <w:sz w:val="18"/>
          <w:szCs w:val="18"/>
        </w:rPr>
        <w:t>Masoli</w:t>
      </w:r>
      <w:proofErr w:type="spellEnd"/>
      <w:r>
        <w:rPr>
          <w:sz w:val="18"/>
          <w:szCs w:val="18"/>
        </w:rPr>
        <w:t xml:space="preserve"> JA, Delgado J, </w:t>
      </w:r>
      <w:r>
        <w:rPr>
          <w:i/>
          <w:sz w:val="18"/>
          <w:szCs w:val="18"/>
        </w:rPr>
        <w:t>et al</w:t>
      </w:r>
      <w:r>
        <w:rPr>
          <w:sz w:val="18"/>
          <w:szCs w:val="18"/>
        </w:rPr>
        <w:t xml:space="preserve">. Proton-pump inhibitors and long-term risk of community-acquired pneumonia in older adults. J Am </w:t>
      </w:r>
      <w:proofErr w:type="spellStart"/>
      <w:r>
        <w:rPr>
          <w:sz w:val="18"/>
          <w:szCs w:val="18"/>
        </w:rPr>
        <w:t>Geriatr</w:t>
      </w:r>
      <w:proofErr w:type="spellEnd"/>
      <w:r>
        <w:rPr>
          <w:sz w:val="18"/>
          <w:szCs w:val="18"/>
        </w:rPr>
        <w:t xml:space="preserve"> </w:t>
      </w:r>
      <w:proofErr w:type="spellStart"/>
      <w:r>
        <w:rPr>
          <w:sz w:val="18"/>
          <w:szCs w:val="18"/>
        </w:rPr>
        <w:t>Soc</w:t>
      </w:r>
      <w:proofErr w:type="spellEnd"/>
      <w:r>
        <w:rPr>
          <w:sz w:val="18"/>
          <w:szCs w:val="18"/>
        </w:rPr>
        <w:t xml:space="preserve"> 66:1332-8.</w:t>
      </w:r>
    </w:p>
    <w:p w14:paraId="659A587F" w14:textId="77777777" w:rsidR="00DE4A1B" w:rsidRPr="00A80092" w:rsidRDefault="00DE4A1B" w:rsidP="00DE4A1B">
      <w:pPr>
        <w:pStyle w:val="ListParagraph"/>
        <w:numPr>
          <w:ilvl w:val="0"/>
          <w:numId w:val="2"/>
        </w:numPr>
        <w:spacing w:after="0" w:line="240" w:lineRule="auto"/>
        <w:rPr>
          <w:sz w:val="18"/>
          <w:szCs w:val="18"/>
        </w:rPr>
      </w:pPr>
      <w:proofErr w:type="spellStart"/>
      <w:r w:rsidRPr="00A80092">
        <w:rPr>
          <w:sz w:val="18"/>
          <w:szCs w:val="18"/>
        </w:rPr>
        <w:t>Vilcu</w:t>
      </w:r>
      <w:proofErr w:type="spellEnd"/>
      <w:r w:rsidRPr="00A80092">
        <w:rPr>
          <w:sz w:val="18"/>
          <w:szCs w:val="18"/>
        </w:rPr>
        <w:t xml:space="preserve"> AM, </w:t>
      </w:r>
      <w:proofErr w:type="spellStart"/>
      <w:r w:rsidRPr="00A80092">
        <w:rPr>
          <w:sz w:val="18"/>
          <w:szCs w:val="18"/>
        </w:rPr>
        <w:t>Sabatte</w:t>
      </w:r>
      <w:proofErr w:type="spellEnd"/>
      <w:r w:rsidRPr="00A80092">
        <w:rPr>
          <w:sz w:val="18"/>
          <w:szCs w:val="18"/>
        </w:rPr>
        <w:t xml:space="preserve"> L, </w:t>
      </w:r>
      <w:proofErr w:type="spellStart"/>
      <w:r w:rsidRPr="00A80092">
        <w:rPr>
          <w:sz w:val="18"/>
          <w:szCs w:val="18"/>
        </w:rPr>
        <w:t>Blanchon</w:t>
      </w:r>
      <w:proofErr w:type="spellEnd"/>
      <w:r w:rsidRPr="00A80092">
        <w:rPr>
          <w:sz w:val="18"/>
          <w:szCs w:val="18"/>
        </w:rPr>
        <w:t xml:space="preserve"> T, </w:t>
      </w:r>
      <w:r w:rsidRPr="00A80092">
        <w:rPr>
          <w:i/>
          <w:sz w:val="18"/>
          <w:szCs w:val="18"/>
        </w:rPr>
        <w:t>et al</w:t>
      </w:r>
      <w:r w:rsidRPr="00A80092">
        <w:rPr>
          <w:sz w:val="18"/>
          <w:szCs w:val="18"/>
        </w:rPr>
        <w:t xml:space="preserve">. Association between acute gastroenteritis and continuous use of proton pump inhibitors during winter periods of highest circulation of enteric viruses. JAMA </w:t>
      </w:r>
      <w:proofErr w:type="spellStart"/>
      <w:r w:rsidRPr="00A80092">
        <w:rPr>
          <w:sz w:val="18"/>
          <w:szCs w:val="18"/>
        </w:rPr>
        <w:t>Netw</w:t>
      </w:r>
      <w:proofErr w:type="spellEnd"/>
      <w:r w:rsidRPr="00A80092">
        <w:rPr>
          <w:sz w:val="18"/>
          <w:szCs w:val="18"/>
        </w:rPr>
        <w:t xml:space="preserve"> Open 2019 Nov 1</w:t>
      </w:r>
      <w:proofErr w:type="gramStart"/>
      <w:r w:rsidRPr="00A80092">
        <w:rPr>
          <w:sz w:val="18"/>
          <w:szCs w:val="18"/>
        </w:rPr>
        <w:t>;2</w:t>
      </w:r>
      <w:proofErr w:type="gramEnd"/>
      <w:r w:rsidRPr="00A80092">
        <w:rPr>
          <w:sz w:val="18"/>
          <w:szCs w:val="18"/>
        </w:rPr>
        <w:t>(11):e1916205.</w:t>
      </w:r>
    </w:p>
    <w:p w14:paraId="6D41E00B" w14:textId="77777777" w:rsidR="00A15DAE" w:rsidRDefault="00DE4A1B" w:rsidP="001F2372">
      <w:pPr>
        <w:pStyle w:val="ListParagraph"/>
        <w:numPr>
          <w:ilvl w:val="0"/>
          <w:numId w:val="2"/>
        </w:numPr>
        <w:spacing w:after="0" w:line="240" w:lineRule="auto"/>
        <w:rPr>
          <w:sz w:val="18"/>
          <w:szCs w:val="18"/>
        </w:rPr>
      </w:pPr>
      <w:proofErr w:type="spellStart"/>
      <w:r>
        <w:rPr>
          <w:sz w:val="18"/>
          <w:szCs w:val="18"/>
        </w:rPr>
        <w:t>Arriola</w:t>
      </w:r>
      <w:proofErr w:type="spellEnd"/>
      <w:r>
        <w:rPr>
          <w:sz w:val="18"/>
          <w:szCs w:val="18"/>
        </w:rPr>
        <w:t xml:space="preserve"> V, </w:t>
      </w:r>
      <w:proofErr w:type="spellStart"/>
      <w:r>
        <w:rPr>
          <w:sz w:val="18"/>
          <w:szCs w:val="18"/>
        </w:rPr>
        <w:t>Tischendorf</w:t>
      </w:r>
      <w:proofErr w:type="spellEnd"/>
      <w:r>
        <w:rPr>
          <w:sz w:val="18"/>
          <w:szCs w:val="18"/>
        </w:rPr>
        <w:t xml:space="preserve"> J, </w:t>
      </w:r>
      <w:proofErr w:type="spellStart"/>
      <w:r>
        <w:rPr>
          <w:sz w:val="18"/>
          <w:szCs w:val="18"/>
        </w:rPr>
        <w:t>Musuuza</w:t>
      </w:r>
      <w:proofErr w:type="spellEnd"/>
      <w:r>
        <w:rPr>
          <w:sz w:val="18"/>
          <w:szCs w:val="18"/>
        </w:rPr>
        <w:t xml:space="preserve"> J, </w:t>
      </w:r>
      <w:r w:rsidR="0008542C" w:rsidRPr="0008542C">
        <w:rPr>
          <w:i/>
          <w:sz w:val="18"/>
          <w:szCs w:val="18"/>
        </w:rPr>
        <w:t>et al</w:t>
      </w:r>
      <w:r>
        <w:rPr>
          <w:sz w:val="18"/>
          <w:szCs w:val="18"/>
        </w:rPr>
        <w:t xml:space="preserve">. </w:t>
      </w:r>
      <w:proofErr w:type="gramStart"/>
      <w:r>
        <w:rPr>
          <w:sz w:val="18"/>
          <w:szCs w:val="18"/>
        </w:rPr>
        <w:t>Assessing</w:t>
      </w:r>
      <w:proofErr w:type="gramEnd"/>
      <w:r>
        <w:rPr>
          <w:sz w:val="18"/>
          <w:szCs w:val="18"/>
        </w:rPr>
        <w:t xml:space="preserve"> the risk of hospital-acquired </w:t>
      </w:r>
      <w:r>
        <w:rPr>
          <w:i/>
          <w:sz w:val="18"/>
          <w:szCs w:val="18"/>
        </w:rPr>
        <w:t xml:space="preserve">Clostridium difficile </w:t>
      </w:r>
      <w:r>
        <w:rPr>
          <w:sz w:val="18"/>
          <w:szCs w:val="18"/>
        </w:rPr>
        <w:t xml:space="preserve">infection with proton pump inhibitor use: a meta-analysis. Infect Control </w:t>
      </w:r>
      <w:proofErr w:type="spellStart"/>
      <w:r>
        <w:rPr>
          <w:sz w:val="18"/>
          <w:szCs w:val="18"/>
        </w:rPr>
        <w:t>Hosp</w:t>
      </w:r>
      <w:proofErr w:type="spellEnd"/>
      <w:r>
        <w:rPr>
          <w:sz w:val="18"/>
          <w:szCs w:val="18"/>
        </w:rPr>
        <w:t xml:space="preserve"> </w:t>
      </w:r>
      <w:proofErr w:type="spellStart"/>
      <w:r>
        <w:rPr>
          <w:sz w:val="18"/>
          <w:szCs w:val="18"/>
        </w:rPr>
        <w:t>Epidemiol</w:t>
      </w:r>
      <w:proofErr w:type="spellEnd"/>
      <w:r>
        <w:rPr>
          <w:sz w:val="18"/>
          <w:szCs w:val="18"/>
        </w:rPr>
        <w:t xml:space="preserve"> 2016</w:t>
      </w:r>
      <w:proofErr w:type="gramStart"/>
      <w:r>
        <w:rPr>
          <w:sz w:val="18"/>
          <w:szCs w:val="18"/>
        </w:rPr>
        <w:t>;37:1408</w:t>
      </w:r>
      <w:proofErr w:type="gramEnd"/>
      <w:r>
        <w:rPr>
          <w:sz w:val="18"/>
          <w:szCs w:val="18"/>
        </w:rPr>
        <w:t>-17.</w:t>
      </w:r>
      <w:r w:rsidR="00A15DAE" w:rsidRPr="00A80092">
        <w:rPr>
          <w:sz w:val="18"/>
          <w:szCs w:val="18"/>
        </w:rPr>
        <w:t xml:space="preserve"> </w:t>
      </w:r>
    </w:p>
    <w:p w14:paraId="133CF305" w14:textId="77777777" w:rsidR="00DE4A1B" w:rsidRDefault="00DE4A1B" w:rsidP="001F2372">
      <w:pPr>
        <w:pStyle w:val="ListParagraph"/>
        <w:numPr>
          <w:ilvl w:val="0"/>
          <w:numId w:val="2"/>
        </w:numPr>
        <w:spacing w:after="0" w:line="240" w:lineRule="auto"/>
        <w:rPr>
          <w:sz w:val="18"/>
          <w:szCs w:val="18"/>
        </w:rPr>
      </w:pPr>
      <w:r>
        <w:rPr>
          <w:sz w:val="18"/>
          <w:szCs w:val="18"/>
        </w:rPr>
        <w:t xml:space="preserve">Cook D, </w:t>
      </w:r>
      <w:proofErr w:type="spellStart"/>
      <w:r>
        <w:rPr>
          <w:sz w:val="18"/>
          <w:szCs w:val="18"/>
        </w:rPr>
        <w:t>Guyatt</w:t>
      </w:r>
      <w:proofErr w:type="spellEnd"/>
      <w:r>
        <w:rPr>
          <w:sz w:val="18"/>
          <w:szCs w:val="18"/>
        </w:rPr>
        <w:t xml:space="preserve"> G. Prophylaxis against upper gastrointestinal bleeding in hospitalized patients. N </w:t>
      </w:r>
      <w:proofErr w:type="spellStart"/>
      <w:r>
        <w:rPr>
          <w:sz w:val="18"/>
          <w:szCs w:val="18"/>
        </w:rPr>
        <w:t>Engl</w:t>
      </w:r>
      <w:proofErr w:type="spellEnd"/>
      <w:r>
        <w:rPr>
          <w:sz w:val="18"/>
          <w:szCs w:val="18"/>
        </w:rPr>
        <w:t xml:space="preserve"> J Med 2018</w:t>
      </w:r>
      <w:proofErr w:type="gramStart"/>
      <w:r>
        <w:rPr>
          <w:sz w:val="18"/>
          <w:szCs w:val="18"/>
        </w:rPr>
        <w:t>;378:2506</w:t>
      </w:r>
      <w:proofErr w:type="gramEnd"/>
      <w:r>
        <w:rPr>
          <w:sz w:val="18"/>
          <w:szCs w:val="18"/>
        </w:rPr>
        <w:t>-16.</w:t>
      </w:r>
    </w:p>
    <w:p w14:paraId="2443C562" w14:textId="77777777" w:rsidR="0008542C" w:rsidRDefault="0008542C" w:rsidP="001F2372">
      <w:pPr>
        <w:pStyle w:val="ListParagraph"/>
        <w:numPr>
          <w:ilvl w:val="0"/>
          <w:numId w:val="2"/>
        </w:numPr>
        <w:spacing w:after="0" w:line="240" w:lineRule="auto"/>
        <w:rPr>
          <w:sz w:val="18"/>
          <w:szCs w:val="18"/>
        </w:rPr>
      </w:pPr>
      <w:r>
        <w:rPr>
          <w:sz w:val="18"/>
          <w:szCs w:val="18"/>
        </w:rPr>
        <w:t xml:space="preserve">American Society of Health-System Pharmacists. ASHP </w:t>
      </w:r>
      <w:r w:rsidR="00B722E1">
        <w:rPr>
          <w:sz w:val="18"/>
          <w:szCs w:val="18"/>
        </w:rPr>
        <w:t>t</w:t>
      </w:r>
      <w:r>
        <w:rPr>
          <w:sz w:val="18"/>
          <w:szCs w:val="18"/>
        </w:rPr>
        <w:t xml:space="preserve">herapeutic </w:t>
      </w:r>
      <w:r w:rsidR="00B722E1">
        <w:rPr>
          <w:sz w:val="18"/>
          <w:szCs w:val="18"/>
        </w:rPr>
        <w:t>g</w:t>
      </w:r>
      <w:r>
        <w:rPr>
          <w:sz w:val="18"/>
          <w:szCs w:val="18"/>
        </w:rPr>
        <w:t xml:space="preserve">uidelines on </w:t>
      </w:r>
      <w:r w:rsidR="00B722E1">
        <w:rPr>
          <w:sz w:val="18"/>
          <w:szCs w:val="18"/>
        </w:rPr>
        <w:t>s</w:t>
      </w:r>
      <w:r>
        <w:rPr>
          <w:sz w:val="18"/>
          <w:szCs w:val="18"/>
        </w:rPr>
        <w:t xml:space="preserve">tress </w:t>
      </w:r>
      <w:r w:rsidR="00B722E1">
        <w:rPr>
          <w:sz w:val="18"/>
          <w:szCs w:val="18"/>
        </w:rPr>
        <w:t>u</w:t>
      </w:r>
      <w:r>
        <w:rPr>
          <w:sz w:val="18"/>
          <w:szCs w:val="18"/>
        </w:rPr>
        <w:t xml:space="preserve">lcer </w:t>
      </w:r>
      <w:r w:rsidR="00B722E1">
        <w:rPr>
          <w:sz w:val="18"/>
          <w:szCs w:val="18"/>
        </w:rPr>
        <w:t>p</w:t>
      </w:r>
      <w:r>
        <w:rPr>
          <w:sz w:val="18"/>
          <w:szCs w:val="18"/>
        </w:rPr>
        <w:t>rophylaxis. Am J Health-</w:t>
      </w:r>
      <w:proofErr w:type="spellStart"/>
      <w:r>
        <w:rPr>
          <w:sz w:val="18"/>
          <w:szCs w:val="18"/>
        </w:rPr>
        <w:t>Syst</w:t>
      </w:r>
      <w:proofErr w:type="spellEnd"/>
      <w:r>
        <w:rPr>
          <w:sz w:val="18"/>
          <w:szCs w:val="18"/>
        </w:rPr>
        <w:t xml:space="preserve"> Pharm 1999</w:t>
      </w:r>
      <w:proofErr w:type="gramStart"/>
      <w:r>
        <w:rPr>
          <w:sz w:val="18"/>
          <w:szCs w:val="18"/>
        </w:rPr>
        <w:t>;56:347</w:t>
      </w:r>
      <w:proofErr w:type="gramEnd"/>
      <w:r>
        <w:rPr>
          <w:sz w:val="18"/>
          <w:szCs w:val="18"/>
        </w:rPr>
        <w:t>-79.</w:t>
      </w:r>
    </w:p>
    <w:p w14:paraId="56F80DC7" w14:textId="77777777" w:rsidR="00EF6B14" w:rsidRDefault="0008542C" w:rsidP="001F2372">
      <w:pPr>
        <w:pStyle w:val="ListParagraph"/>
        <w:numPr>
          <w:ilvl w:val="0"/>
          <w:numId w:val="2"/>
        </w:numPr>
        <w:spacing w:after="0" w:line="240" w:lineRule="auto"/>
        <w:rPr>
          <w:sz w:val="18"/>
          <w:szCs w:val="18"/>
        </w:rPr>
      </w:pPr>
      <w:r>
        <w:rPr>
          <w:sz w:val="18"/>
          <w:szCs w:val="18"/>
        </w:rPr>
        <w:t xml:space="preserve">Abraham NS, </w:t>
      </w:r>
      <w:proofErr w:type="spellStart"/>
      <w:r>
        <w:rPr>
          <w:sz w:val="18"/>
          <w:szCs w:val="18"/>
        </w:rPr>
        <w:t>Hlatky</w:t>
      </w:r>
      <w:proofErr w:type="spellEnd"/>
      <w:r>
        <w:rPr>
          <w:sz w:val="18"/>
          <w:szCs w:val="18"/>
        </w:rPr>
        <w:t xml:space="preserve"> MA, </w:t>
      </w:r>
      <w:proofErr w:type="spellStart"/>
      <w:r w:rsidR="00B722E1">
        <w:rPr>
          <w:sz w:val="18"/>
          <w:szCs w:val="18"/>
        </w:rPr>
        <w:t>Antman</w:t>
      </w:r>
      <w:proofErr w:type="spellEnd"/>
      <w:r w:rsidR="00B722E1">
        <w:rPr>
          <w:sz w:val="18"/>
          <w:szCs w:val="18"/>
        </w:rPr>
        <w:t xml:space="preserve"> EM, </w:t>
      </w:r>
      <w:r w:rsidR="00B722E1">
        <w:rPr>
          <w:i/>
          <w:sz w:val="18"/>
          <w:szCs w:val="18"/>
        </w:rPr>
        <w:t>et al</w:t>
      </w:r>
      <w:r w:rsidR="00B722E1">
        <w:rPr>
          <w:sz w:val="18"/>
          <w:szCs w:val="18"/>
        </w:rPr>
        <w:t xml:space="preserve">. ACCF/ACG/AHA 2010 expert consensus document on the concomitant use of proton pump </w:t>
      </w:r>
      <w:proofErr w:type="spellStart"/>
      <w:r w:rsidR="00B722E1">
        <w:rPr>
          <w:sz w:val="18"/>
          <w:szCs w:val="18"/>
        </w:rPr>
        <w:t>inhibitros</w:t>
      </w:r>
      <w:proofErr w:type="spellEnd"/>
      <w:r w:rsidR="00B722E1">
        <w:rPr>
          <w:sz w:val="18"/>
          <w:szCs w:val="18"/>
        </w:rPr>
        <w:t xml:space="preserve"> and </w:t>
      </w:r>
      <w:proofErr w:type="spellStart"/>
      <w:r w:rsidR="00B722E1">
        <w:rPr>
          <w:sz w:val="18"/>
          <w:szCs w:val="18"/>
        </w:rPr>
        <w:t>thienopyridines</w:t>
      </w:r>
      <w:proofErr w:type="spellEnd"/>
      <w:r w:rsidR="00B722E1">
        <w:rPr>
          <w:sz w:val="18"/>
          <w:szCs w:val="18"/>
        </w:rPr>
        <w:t xml:space="preserve">: a focused update of the ACCF/ACG/AHA 2008 expert consensus document of reducing the gastrointestinal risks of antiplatelet therapy and NSAID use. Am J </w:t>
      </w:r>
      <w:proofErr w:type="spellStart"/>
      <w:r w:rsidR="00B722E1">
        <w:rPr>
          <w:sz w:val="18"/>
          <w:szCs w:val="18"/>
        </w:rPr>
        <w:t>Gastroenterol</w:t>
      </w:r>
      <w:proofErr w:type="spellEnd"/>
      <w:r w:rsidR="00B722E1">
        <w:rPr>
          <w:sz w:val="18"/>
          <w:szCs w:val="18"/>
        </w:rPr>
        <w:t xml:space="preserve"> </w:t>
      </w:r>
      <w:r w:rsidR="00EF6B14">
        <w:rPr>
          <w:sz w:val="18"/>
          <w:szCs w:val="18"/>
        </w:rPr>
        <w:t>2010:105:2533-</w:t>
      </w:r>
      <w:proofErr w:type="gramStart"/>
      <w:r w:rsidR="00EF6B14">
        <w:rPr>
          <w:sz w:val="18"/>
          <w:szCs w:val="18"/>
        </w:rPr>
        <w:t>49.</w:t>
      </w:r>
      <w:proofErr w:type="gramEnd"/>
    </w:p>
    <w:p w14:paraId="05356895" w14:textId="77777777" w:rsidR="00025B08" w:rsidRDefault="00EF6B14" w:rsidP="001F2372">
      <w:pPr>
        <w:pStyle w:val="ListParagraph"/>
        <w:numPr>
          <w:ilvl w:val="0"/>
          <w:numId w:val="2"/>
        </w:numPr>
        <w:spacing w:after="0" w:line="240" w:lineRule="auto"/>
        <w:rPr>
          <w:sz w:val="18"/>
          <w:szCs w:val="18"/>
        </w:rPr>
      </w:pPr>
      <w:r>
        <w:rPr>
          <w:sz w:val="18"/>
          <w:szCs w:val="18"/>
        </w:rPr>
        <w:t xml:space="preserve">Lanza F, Chan FKL, Quigley EMM, </w:t>
      </w:r>
      <w:r>
        <w:rPr>
          <w:i/>
          <w:sz w:val="18"/>
          <w:szCs w:val="18"/>
        </w:rPr>
        <w:t>et al</w:t>
      </w:r>
      <w:r>
        <w:rPr>
          <w:sz w:val="18"/>
          <w:szCs w:val="18"/>
        </w:rPr>
        <w:t xml:space="preserve">. Guidelines for prevention of NSAID-related ulcer complications. Am J </w:t>
      </w:r>
      <w:proofErr w:type="spellStart"/>
      <w:r>
        <w:rPr>
          <w:sz w:val="18"/>
          <w:szCs w:val="18"/>
        </w:rPr>
        <w:t>Gastroenterol</w:t>
      </w:r>
      <w:proofErr w:type="spellEnd"/>
      <w:r>
        <w:rPr>
          <w:sz w:val="18"/>
          <w:szCs w:val="18"/>
        </w:rPr>
        <w:t xml:space="preserve"> 2009</w:t>
      </w:r>
      <w:proofErr w:type="gramStart"/>
      <w:r>
        <w:rPr>
          <w:sz w:val="18"/>
          <w:szCs w:val="18"/>
        </w:rPr>
        <w:t>;104:728</w:t>
      </w:r>
      <w:proofErr w:type="gramEnd"/>
      <w:r>
        <w:rPr>
          <w:sz w:val="18"/>
          <w:szCs w:val="18"/>
        </w:rPr>
        <w:t>-38.</w:t>
      </w:r>
    </w:p>
    <w:p w14:paraId="6CF9D512" w14:textId="4A7D2493" w:rsidR="003219D0" w:rsidRDefault="00025B08" w:rsidP="001F2372">
      <w:pPr>
        <w:pStyle w:val="ListParagraph"/>
        <w:numPr>
          <w:ilvl w:val="0"/>
          <w:numId w:val="2"/>
        </w:numPr>
        <w:spacing w:after="0" w:line="240" w:lineRule="auto"/>
        <w:rPr>
          <w:sz w:val="18"/>
          <w:szCs w:val="18"/>
        </w:rPr>
      </w:pPr>
      <w:proofErr w:type="spellStart"/>
      <w:r>
        <w:rPr>
          <w:sz w:val="18"/>
          <w:szCs w:val="18"/>
        </w:rPr>
        <w:t>Freedberg</w:t>
      </w:r>
      <w:proofErr w:type="spellEnd"/>
      <w:r>
        <w:rPr>
          <w:sz w:val="18"/>
          <w:szCs w:val="18"/>
        </w:rPr>
        <w:t xml:space="preserve"> DE, Kim LS, Yan YX. The risks and benefits of long-term use of proton pump inhibitors: expert review and best practice advice from the American Gastroenterological Association. </w:t>
      </w:r>
      <w:proofErr w:type="spellStart"/>
      <w:r>
        <w:rPr>
          <w:sz w:val="18"/>
          <w:szCs w:val="18"/>
        </w:rPr>
        <w:t>Gastroenterol</w:t>
      </w:r>
      <w:proofErr w:type="spellEnd"/>
      <w:r>
        <w:rPr>
          <w:sz w:val="18"/>
          <w:szCs w:val="18"/>
        </w:rPr>
        <w:t xml:space="preserve"> 2017</w:t>
      </w:r>
      <w:proofErr w:type="gramStart"/>
      <w:r>
        <w:rPr>
          <w:sz w:val="18"/>
          <w:szCs w:val="18"/>
        </w:rPr>
        <w:t>;152:706</w:t>
      </w:r>
      <w:proofErr w:type="gramEnd"/>
      <w:r>
        <w:rPr>
          <w:sz w:val="18"/>
          <w:szCs w:val="18"/>
        </w:rPr>
        <w:t>-15.</w:t>
      </w:r>
      <w:r w:rsidR="00B722E1">
        <w:rPr>
          <w:sz w:val="18"/>
          <w:szCs w:val="18"/>
        </w:rPr>
        <w:t xml:space="preserve"> </w:t>
      </w:r>
      <w:r w:rsidR="0008542C">
        <w:rPr>
          <w:sz w:val="18"/>
          <w:szCs w:val="18"/>
        </w:rPr>
        <w:t xml:space="preserve"> </w:t>
      </w:r>
    </w:p>
    <w:p w14:paraId="4770158A" w14:textId="0FE98C37" w:rsidR="00A15DAE" w:rsidRPr="00A80092" w:rsidRDefault="00DD58E8" w:rsidP="00EC04D3">
      <w:pPr>
        <w:pStyle w:val="ListParagraph"/>
        <w:numPr>
          <w:ilvl w:val="0"/>
          <w:numId w:val="2"/>
        </w:numPr>
        <w:spacing w:after="0" w:line="240" w:lineRule="auto"/>
      </w:pPr>
      <w:proofErr w:type="spellStart"/>
      <w:r w:rsidRPr="00DD58E8">
        <w:rPr>
          <w:sz w:val="18"/>
          <w:szCs w:val="18"/>
        </w:rPr>
        <w:t>Mcdonald</w:t>
      </w:r>
      <w:proofErr w:type="spellEnd"/>
      <w:r w:rsidRPr="00DD58E8">
        <w:rPr>
          <w:sz w:val="18"/>
          <w:szCs w:val="18"/>
        </w:rPr>
        <w:t xml:space="preserve"> EG</w:t>
      </w:r>
      <w:r>
        <w:rPr>
          <w:sz w:val="18"/>
          <w:szCs w:val="18"/>
        </w:rPr>
        <w:t xml:space="preserve">, Milligan J, </w:t>
      </w:r>
      <w:proofErr w:type="spellStart"/>
      <w:r>
        <w:rPr>
          <w:sz w:val="18"/>
          <w:szCs w:val="18"/>
        </w:rPr>
        <w:t>Frennet</w:t>
      </w:r>
      <w:proofErr w:type="spellEnd"/>
      <w:r>
        <w:rPr>
          <w:sz w:val="18"/>
          <w:szCs w:val="18"/>
        </w:rPr>
        <w:t>, et al</w:t>
      </w:r>
      <w:r w:rsidRPr="00DD58E8">
        <w:rPr>
          <w:sz w:val="18"/>
          <w:szCs w:val="18"/>
        </w:rPr>
        <w:t xml:space="preserve">.  </w:t>
      </w:r>
      <w:r>
        <w:rPr>
          <w:sz w:val="18"/>
          <w:szCs w:val="18"/>
        </w:rPr>
        <w:t>Continuous proton pump inhibitor therapy and the associated risk of r</w:t>
      </w:r>
      <w:r w:rsidRPr="00DD58E8">
        <w:rPr>
          <w:sz w:val="18"/>
          <w:szCs w:val="18"/>
        </w:rPr>
        <w:t xml:space="preserve">ecurrent </w:t>
      </w:r>
      <w:r w:rsidRPr="0098690A">
        <w:rPr>
          <w:i/>
          <w:sz w:val="18"/>
          <w:szCs w:val="18"/>
        </w:rPr>
        <w:t>Clostridium difficile</w:t>
      </w:r>
      <w:r>
        <w:rPr>
          <w:sz w:val="18"/>
          <w:szCs w:val="18"/>
        </w:rPr>
        <w:t xml:space="preserve"> i</w:t>
      </w:r>
      <w:r w:rsidRPr="00DD58E8">
        <w:rPr>
          <w:sz w:val="18"/>
          <w:szCs w:val="18"/>
        </w:rPr>
        <w:t>nfection</w:t>
      </w:r>
      <w:r>
        <w:rPr>
          <w:sz w:val="18"/>
          <w:szCs w:val="18"/>
        </w:rPr>
        <w:t xml:space="preserve">.  </w:t>
      </w:r>
      <w:r w:rsidRPr="00DD58E8">
        <w:rPr>
          <w:sz w:val="18"/>
          <w:szCs w:val="18"/>
        </w:rPr>
        <w:t xml:space="preserve">JAMA </w:t>
      </w:r>
      <w:proofErr w:type="spellStart"/>
      <w:r w:rsidRPr="00DD58E8">
        <w:rPr>
          <w:sz w:val="18"/>
          <w:szCs w:val="18"/>
        </w:rPr>
        <w:t>Int</w:t>
      </w:r>
      <w:proofErr w:type="spellEnd"/>
      <w:r w:rsidRPr="00DD58E8">
        <w:rPr>
          <w:sz w:val="18"/>
          <w:szCs w:val="18"/>
        </w:rPr>
        <w:t xml:space="preserve"> Med.  2015</w:t>
      </w:r>
      <w:proofErr w:type="gramStart"/>
      <w:r w:rsidRPr="00DD58E8">
        <w:rPr>
          <w:sz w:val="18"/>
          <w:szCs w:val="18"/>
        </w:rPr>
        <w:t>;175:784</w:t>
      </w:r>
      <w:proofErr w:type="gramEnd"/>
      <w:r w:rsidRPr="00DD58E8">
        <w:rPr>
          <w:sz w:val="18"/>
          <w:szCs w:val="18"/>
        </w:rPr>
        <w:t>-91</w:t>
      </w:r>
      <w:r>
        <w:rPr>
          <w:sz w:val="18"/>
          <w:szCs w:val="18"/>
        </w:rPr>
        <w:t xml:space="preserve">.  </w:t>
      </w:r>
    </w:p>
    <w:sectPr w:rsidR="00A15DAE" w:rsidRPr="00A80092" w:rsidSect="00025B08">
      <w:headerReference w:type="default" r:id="rId16"/>
      <w:footerReference w:type="default" r:id="rId1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D51F" w14:textId="77777777" w:rsidR="00A644AD" w:rsidRDefault="00A644AD" w:rsidP="00D9446C">
      <w:pPr>
        <w:spacing w:after="0" w:line="240" w:lineRule="auto"/>
      </w:pPr>
      <w:r>
        <w:separator/>
      </w:r>
    </w:p>
  </w:endnote>
  <w:endnote w:type="continuationSeparator" w:id="0">
    <w:p w14:paraId="3AF310E9" w14:textId="77777777" w:rsidR="00A644AD" w:rsidRDefault="00A644AD" w:rsidP="00D9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56DB" w14:textId="1823A25C" w:rsidR="00F71C98" w:rsidRPr="002C0E3F" w:rsidRDefault="002132A9" w:rsidP="002132A9">
    <w:pPr>
      <w:pStyle w:val="Footer"/>
      <w:tabs>
        <w:tab w:val="clear" w:pos="4680"/>
        <w:tab w:val="clear" w:pos="9360"/>
        <w:tab w:val="left" w:pos="1740"/>
      </w:tabs>
      <w:rPr>
        <w:sz w:val="16"/>
      </w:rPr>
    </w:pPr>
    <w:r>
      <w:rPr>
        <w:noProof/>
      </w:rPr>
      <w:drawing>
        <wp:anchor distT="0" distB="0" distL="114300" distR="114300" simplePos="0" relativeHeight="251661312" behindDoc="0" locked="0" layoutInCell="1" allowOverlap="1" wp14:anchorId="1FC08F5B" wp14:editId="3A80E58B">
          <wp:simplePos x="0" y="0"/>
          <wp:positionH relativeFrom="column">
            <wp:posOffset>5238750</wp:posOffset>
          </wp:positionH>
          <wp:positionV relativeFrom="paragraph">
            <wp:posOffset>-162560</wp:posOffset>
          </wp:positionV>
          <wp:extent cx="1389888" cy="658368"/>
          <wp:effectExtent l="0" t="0" r="127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65836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AE91E" w14:textId="77777777" w:rsidR="00A644AD" w:rsidRDefault="00A644AD" w:rsidP="00D9446C">
      <w:pPr>
        <w:spacing w:after="0" w:line="240" w:lineRule="auto"/>
      </w:pPr>
      <w:r>
        <w:separator/>
      </w:r>
    </w:p>
  </w:footnote>
  <w:footnote w:type="continuationSeparator" w:id="0">
    <w:p w14:paraId="462A6689" w14:textId="77777777" w:rsidR="00A644AD" w:rsidRDefault="00A644AD" w:rsidP="00D94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5C24" w14:textId="7DF2E0AE" w:rsidR="002C0E3F" w:rsidRDefault="002C0E3F" w:rsidP="002132A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4FD"/>
    <w:multiLevelType w:val="hybridMultilevel"/>
    <w:tmpl w:val="21F04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990689"/>
    <w:multiLevelType w:val="hybridMultilevel"/>
    <w:tmpl w:val="E44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D578B"/>
    <w:multiLevelType w:val="hybridMultilevel"/>
    <w:tmpl w:val="66AE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xN7EwNzIyNrYwMTFV0lEKTi0uzszPAykwrgUAArdayCwAAAA="/>
  </w:docVars>
  <w:rsids>
    <w:rsidRoot w:val="00A15DAE"/>
    <w:rsid w:val="00025B08"/>
    <w:rsid w:val="00027D87"/>
    <w:rsid w:val="000505AC"/>
    <w:rsid w:val="0008542C"/>
    <w:rsid w:val="00107090"/>
    <w:rsid w:val="0012364B"/>
    <w:rsid w:val="001C3341"/>
    <w:rsid w:val="001F2372"/>
    <w:rsid w:val="002132A9"/>
    <w:rsid w:val="002C0E3F"/>
    <w:rsid w:val="002C2786"/>
    <w:rsid w:val="002C2D89"/>
    <w:rsid w:val="003219D0"/>
    <w:rsid w:val="003230E2"/>
    <w:rsid w:val="003C3B60"/>
    <w:rsid w:val="004479A4"/>
    <w:rsid w:val="004A65F0"/>
    <w:rsid w:val="005C4639"/>
    <w:rsid w:val="005C718F"/>
    <w:rsid w:val="007457F0"/>
    <w:rsid w:val="00752544"/>
    <w:rsid w:val="00780B88"/>
    <w:rsid w:val="007A237D"/>
    <w:rsid w:val="007E7738"/>
    <w:rsid w:val="008F224C"/>
    <w:rsid w:val="0098690A"/>
    <w:rsid w:val="00A15DAE"/>
    <w:rsid w:val="00A644AD"/>
    <w:rsid w:val="00A80092"/>
    <w:rsid w:val="00AD37B5"/>
    <w:rsid w:val="00B57271"/>
    <w:rsid w:val="00B62321"/>
    <w:rsid w:val="00B722E1"/>
    <w:rsid w:val="00B84AEE"/>
    <w:rsid w:val="00BA12B1"/>
    <w:rsid w:val="00C33168"/>
    <w:rsid w:val="00C86EE0"/>
    <w:rsid w:val="00D56E07"/>
    <w:rsid w:val="00D9446C"/>
    <w:rsid w:val="00DD58E8"/>
    <w:rsid w:val="00DE4A1B"/>
    <w:rsid w:val="00E21989"/>
    <w:rsid w:val="00E57792"/>
    <w:rsid w:val="00EC04D3"/>
    <w:rsid w:val="00EF6B14"/>
    <w:rsid w:val="00F12535"/>
    <w:rsid w:val="00F71C98"/>
    <w:rsid w:val="00FB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B1474"/>
  <w15:chartTrackingRefBased/>
  <w15:docId w15:val="{CBC19D48-D077-4F39-BFFE-48CAA96E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E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E0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94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46C"/>
  </w:style>
  <w:style w:type="paragraph" w:styleId="Footer">
    <w:name w:val="footer"/>
    <w:basedOn w:val="Normal"/>
    <w:link w:val="FooterChar"/>
    <w:uiPriority w:val="99"/>
    <w:unhideWhenUsed/>
    <w:rsid w:val="00D94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46C"/>
  </w:style>
  <w:style w:type="paragraph" w:styleId="ListParagraph">
    <w:name w:val="List Paragraph"/>
    <w:basedOn w:val="Normal"/>
    <w:uiPriority w:val="34"/>
    <w:qFormat/>
    <w:rsid w:val="00027D87"/>
    <w:pPr>
      <w:ind w:left="720"/>
      <w:contextualSpacing/>
    </w:pPr>
  </w:style>
  <w:style w:type="character" w:styleId="Hyperlink">
    <w:name w:val="Hyperlink"/>
    <w:basedOn w:val="DefaultParagraphFont"/>
    <w:uiPriority w:val="99"/>
    <w:unhideWhenUsed/>
    <w:rsid w:val="007A237D"/>
    <w:rPr>
      <w:color w:val="0563C1" w:themeColor="hyperlink"/>
      <w:u w:val="single"/>
    </w:rPr>
  </w:style>
  <w:style w:type="character" w:styleId="CommentReference">
    <w:name w:val="annotation reference"/>
    <w:basedOn w:val="DefaultParagraphFont"/>
    <w:uiPriority w:val="99"/>
    <w:semiHidden/>
    <w:unhideWhenUsed/>
    <w:rsid w:val="001C3341"/>
    <w:rPr>
      <w:sz w:val="16"/>
      <w:szCs w:val="16"/>
    </w:rPr>
  </w:style>
  <w:style w:type="paragraph" w:styleId="CommentText">
    <w:name w:val="annotation text"/>
    <w:basedOn w:val="Normal"/>
    <w:link w:val="CommentTextChar"/>
    <w:uiPriority w:val="99"/>
    <w:semiHidden/>
    <w:unhideWhenUsed/>
    <w:rsid w:val="001C3341"/>
    <w:pPr>
      <w:spacing w:line="240" w:lineRule="auto"/>
    </w:pPr>
    <w:rPr>
      <w:sz w:val="20"/>
      <w:szCs w:val="20"/>
    </w:rPr>
  </w:style>
  <w:style w:type="character" w:customStyle="1" w:styleId="CommentTextChar">
    <w:name w:val="Comment Text Char"/>
    <w:basedOn w:val="DefaultParagraphFont"/>
    <w:link w:val="CommentText"/>
    <w:uiPriority w:val="99"/>
    <w:semiHidden/>
    <w:rsid w:val="001C3341"/>
    <w:rPr>
      <w:sz w:val="20"/>
      <w:szCs w:val="20"/>
    </w:rPr>
  </w:style>
  <w:style w:type="paragraph" w:styleId="CommentSubject">
    <w:name w:val="annotation subject"/>
    <w:basedOn w:val="CommentText"/>
    <w:next w:val="CommentText"/>
    <w:link w:val="CommentSubjectChar"/>
    <w:uiPriority w:val="99"/>
    <w:semiHidden/>
    <w:unhideWhenUsed/>
    <w:rsid w:val="001C3341"/>
    <w:rPr>
      <w:b/>
      <w:bCs/>
    </w:rPr>
  </w:style>
  <w:style w:type="character" w:customStyle="1" w:styleId="CommentSubjectChar">
    <w:name w:val="Comment Subject Char"/>
    <w:basedOn w:val="CommentTextChar"/>
    <w:link w:val="CommentSubject"/>
    <w:uiPriority w:val="99"/>
    <w:semiHidden/>
    <w:rsid w:val="001C3341"/>
    <w:rPr>
      <w:b/>
      <w:bCs/>
      <w:sz w:val="20"/>
      <w:szCs w:val="20"/>
    </w:rPr>
  </w:style>
  <w:style w:type="paragraph" w:styleId="BalloonText">
    <w:name w:val="Balloon Text"/>
    <w:basedOn w:val="Normal"/>
    <w:link w:val="BalloonTextChar"/>
    <w:uiPriority w:val="99"/>
    <w:semiHidden/>
    <w:unhideWhenUsed/>
    <w:rsid w:val="001C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35952">
      <w:bodyDiv w:val="1"/>
      <w:marLeft w:val="0"/>
      <w:marRight w:val="0"/>
      <w:marTop w:val="0"/>
      <w:marBottom w:val="0"/>
      <w:divBdr>
        <w:top w:val="none" w:sz="0" w:space="0" w:color="auto"/>
        <w:left w:val="none" w:sz="0" w:space="0" w:color="auto"/>
        <w:bottom w:val="none" w:sz="0" w:space="0" w:color="auto"/>
        <w:right w:val="none" w:sz="0" w:space="0" w:color="auto"/>
      </w:divBdr>
    </w:div>
    <w:div w:id="16946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mdcalc.com/glasgow-coma-scale-score-g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ncbi.nlm.nih.gov/books/NBK65641/"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mdcalc.com/injury-severity-score-i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138F7A-69DC-43D9-B7AA-F932C8BADB46}" type="doc">
      <dgm:prSet loTypeId="urn:microsoft.com/office/officeart/2005/8/layout/radial4" loCatId="relationship" qsTypeId="urn:microsoft.com/office/officeart/2005/8/quickstyle/3d3" qsCatId="3D" csTypeId="urn:microsoft.com/office/officeart/2005/8/colors/colorful1" csCatId="colorful" phldr="1"/>
      <dgm:spPr/>
      <dgm:t>
        <a:bodyPr/>
        <a:lstStyle/>
        <a:p>
          <a:endParaRPr lang="en-US"/>
        </a:p>
      </dgm:t>
    </dgm:pt>
    <dgm:pt modelId="{7CD1B55E-9D8F-4529-93AE-FC880051B682}">
      <dgm:prSet phldrT="[Text]" custT="1"/>
      <dgm:spPr/>
      <dgm:t>
        <a:bodyPr/>
        <a:lstStyle/>
        <a:p>
          <a:pPr algn="ctr"/>
          <a:r>
            <a:rPr lang="en-US" sz="1000" b="1"/>
            <a:t>Risk Factors Associated with UGIB in Hospitalized Patients</a:t>
          </a:r>
        </a:p>
      </dgm:t>
    </dgm:pt>
    <dgm:pt modelId="{AD1F4C81-E399-4701-855B-F5AC38B305B7}" type="parTrans" cxnId="{F25163FD-0E4A-421D-A9C7-40201B5F71A4}">
      <dgm:prSet/>
      <dgm:spPr/>
      <dgm:t>
        <a:bodyPr/>
        <a:lstStyle/>
        <a:p>
          <a:pPr algn="ctr"/>
          <a:endParaRPr lang="en-US"/>
        </a:p>
      </dgm:t>
    </dgm:pt>
    <dgm:pt modelId="{763BEBCF-E5B7-4ABC-93C0-756D6329CA9D}" type="sibTrans" cxnId="{F25163FD-0E4A-421D-A9C7-40201B5F71A4}">
      <dgm:prSet/>
      <dgm:spPr/>
      <dgm:t>
        <a:bodyPr/>
        <a:lstStyle/>
        <a:p>
          <a:pPr algn="ctr"/>
          <a:endParaRPr lang="en-US"/>
        </a:p>
      </dgm:t>
    </dgm:pt>
    <dgm:pt modelId="{EF0FACEB-18EE-48F2-920F-D537A2ED110F}">
      <dgm:prSet phldrT="[Text]"/>
      <dgm:spPr/>
      <dgm:t>
        <a:bodyPr/>
        <a:lstStyle/>
        <a:p>
          <a:pPr algn="ctr"/>
          <a:r>
            <a:rPr lang="en-US" b="1" i="0"/>
            <a:t>DRUG</a:t>
          </a:r>
        </a:p>
        <a:p>
          <a:pPr algn="ctr"/>
          <a:r>
            <a:rPr lang="en-US"/>
            <a:t>Anticoagulants</a:t>
          </a:r>
        </a:p>
        <a:p>
          <a:pPr algn="ctr"/>
          <a:r>
            <a:rPr lang="en-US"/>
            <a:t>Antiplatelet agents</a:t>
          </a:r>
        </a:p>
        <a:p>
          <a:pPr algn="ctr"/>
          <a:r>
            <a:rPr lang="en-US"/>
            <a:t>NSAIDs</a:t>
          </a:r>
        </a:p>
      </dgm:t>
    </dgm:pt>
    <dgm:pt modelId="{F76A56CD-EA92-48AB-B172-3D14B1E0259E}" type="parTrans" cxnId="{2026ECED-B2D4-4276-A4DC-82C323398E26}">
      <dgm:prSet/>
      <dgm:spPr/>
      <dgm:t>
        <a:bodyPr/>
        <a:lstStyle/>
        <a:p>
          <a:pPr algn="ctr"/>
          <a:endParaRPr lang="en-US"/>
        </a:p>
      </dgm:t>
    </dgm:pt>
    <dgm:pt modelId="{FA574B74-4107-494E-8A3B-5FC560B48332}" type="sibTrans" cxnId="{2026ECED-B2D4-4276-A4DC-82C323398E26}">
      <dgm:prSet/>
      <dgm:spPr/>
      <dgm:t>
        <a:bodyPr/>
        <a:lstStyle/>
        <a:p>
          <a:pPr algn="ctr"/>
          <a:endParaRPr lang="en-US"/>
        </a:p>
      </dgm:t>
    </dgm:pt>
    <dgm:pt modelId="{343191ED-EE7D-4FD7-8AE2-9169CF3BEFBC}">
      <dgm:prSet phldrT="[Text]"/>
      <dgm:spPr/>
      <dgm:t>
        <a:bodyPr/>
        <a:lstStyle/>
        <a:p>
          <a:pPr algn="ctr"/>
          <a:r>
            <a:rPr lang="en-US" b="1"/>
            <a:t>ACUTE ILLNESS</a:t>
          </a:r>
        </a:p>
        <a:p>
          <a:pPr algn="ctr"/>
          <a:r>
            <a:rPr lang="en-US" b="0"/>
            <a:t>Shock</a:t>
          </a:r>
        </a:p>
        <a:p>
          <a:pPr algn="ctr"/>
          <a:r>
            <a:rPr lang="en-US" b="0"/>
            <a:t>Respiratory Failure</a:t>
          </a:r>
        </a:p>
        <a:p>
          <a:pPr algn="ctr"/>
          <a:r>
            <a:rPr lang="en-US" b="0"/>
            <a:t>Head Trauma</a:t>
          </a:r>
        </a:p>
        <a:p>
          <a:pPr algn="ctr"/>
          <a:r>
            <a:rPr lang="en-US" b="0"/>
            <a:t>Thermal Injury</a:t>
          </a:r>
        </a:p>
      </dgm:t>
    </dgm:pt>
    <dgm:pt modelId="{18A6DA32-A1BE-4D88-82DA-6ADF7C4098A4}" type="parTrans" cxnId="{D951A9E6-6F91-4FA8-94FA-CC651AF28170}">
      <dgm:prSet/>
      <dgm:spPr/>
      <dgm:t>
        <a:bodyPr/>
        <a:lstStyle/>
        <a:p>
          <a:pPr algn="ctr"/>
          <a:endParaRPr lang="en-US"/>
        </a:p>
      </dgm:t>
    </dgm:pt>
    <dgm:pt modelId="{6689DB7C-C663-4736-833F-1F1E86880675}" type="sibTrans" cxnId="{D951A9E6-6F91-4FA8-94FA-CC651AF28170}">
      <dgm:prSet/>
      <dgm:spPr/>
      <dgm:t>
        <a:bodyPr/>
        <a:lstStyle/>
        <a:p>
          <a:pPr algn="ctr"/>
          <a:endParaRPr lang="en-US"/>
        </a:p>
      </dgm:t>
    </dgm:pt>
    <dgm:pt modelId="{27B8237B-C8E4-4E36-A767-C8D58B53EBC6}">
      <dgm:prSet phldrT="[Text]"/>
      <dgm:spPr/>
      <dgm:t>
        <a:bodyPr/>
        <a:lstStyle/>
        <a:p>
          <a:pPr algn="ctr"/>
          <a:r>
            <a:rPr lang="en-US" b="1"/>
            <a:t>CHRONIC CONDITION</a:t>
          </a:r>
        </a:p>
        <a:p>
          <a:pPr algn="ctr"/>
          <a:r>
            <a:rPr lang="en-US" b="0"/>
            <a:t>Renal dysfunction</a:t>
          </a:r>
        </a:p>
        <a:p>
          <a:pPr algn="ctr"/>
          <a:r>
            <a:rPr lang="en-US" b="0"/>
            <a:t>Liver disease</a:t>
          </a:r>
        </a:p>
        <a:p>
          <a:pPr algn="ctr"/>
          <a:r>
            <a:rPr lang="en-US" b="0"/>
            <a:t>Coagulopathy</a:t>
          </a:r>
        </a:p>
        <a:p>
          <a:pPr algn="ctr"/>
          <a:r>
            <a:rPr lang="en-US" b="0" i="1"/>
            <a:t>Helicobacter pylori</a:t>
          </a:r>
        </a:p>
      </dgm:t>
    </dgm:pt>
    <dgm:pt modelId="{42EDB303-3793-4FD7-8E03-EE9735E39FBE}" type="parTrans" cxnId="{18AFF33F-EFDC-487C-A6DC-6D857459C6A2}">
      <dgm:prSet/>
      <dgm:spPr/>
      <dgm:t>
        <a:bodyPr/>
        <a:lstStyle/>
        <a:p>
          <a:pPr algn="ctr"/>
          <a:endParaRPr lang="en-US"/>
        </a:p>
      </dgm:t>
    </dgm:pt>
    <dgm:pt modelId="{3F2F06C2-D41E-41E3-BDEE-8650B07305B5}" type="sibTrans" cxnId="{18AFF33F-EFDC-487C-A6DC-6D857459C6A2}">
      <dgm:prSet/>
      <dgm:spPr/>
      <dgm:t>
        <a:bodyPr/>
        <a:lstStyle/>
        <a:p>
          <a:pPr algn="ctr"/>
          <a:endParaRPr lang="en-US"/>
        </a:p>
      </dgm:t>
    </dgm:pt>
    <dgm:pt modelId="{20DF1E4E-2065-4869-93B2-F8C0F7C03834}">
      <dgm:prSet/>
      <dgm:spPr/>
      <dgm:t>
        <a:bodyPr/>
        <a:lstStyle/>
        <a:p>
          <a:pPr algn="ctr"/>
          <a:r>
            <a:rPr lang="en-US" b="1"/>
            <a:t>DEVICE</a:t>
          </a:r>
        </a:p>
        <a:p>
          <a:pPr algn="ctr"/>
          <a:r>
            <a:rPr lang="en-US"/>
            <a:t>Mechanical ventilation</a:t>
          </a:r>
        </a:p>
        <a:p>
          <a:pPr algn="ctr"/>
          <a:r>
            <a:rPr lang="en-US"/>
            <a:t>Renal replacement therapy</a:t>
          </a:r>
        </a:p>
        <a:p>
          <a:pPr algn="ctr"/>
          <a:r>
            <a:rPr lang="en-US"/>
            <a:t>Extracorporeal life support</a:t>
          </a:r>
        </a:p>
      </dgm:t>
    </dgm:pt>
    <dgm:pt modelId="{A1909AB1-FDBF-4133-A873-0787B0F4CAF5}" type="parTrans" cxnId="{BDBDFA7B-49C7-4FB2-810B-F2478B3E6041}">
      <dgm:prSet/>
      <dgm:spPr/>
      <dgm:t>
        <a:bodyPr/>
        <a:lstStyle/>
        <a:p>
          <a:pPr algn="ctr"/>
          <a:endParaRPr lang="en-US"/>
        </a:p>
      </dgm:t>
    </dgm:pt>
    <dgm:pt modelId="{038689F0-8940-4D19-8992-77161BDF76C9}" type="sibTrans" cxnId="{BDBDFA7B-49C7-4FB2-810B-F2478B3E6041}">
      <dgm:prSet/>
      <dgm:spPr/>
      <dgm:t>
        <a:bodyPr/>
        <a:lstStyle/>
        <a:p>
          <a:pPr algn="ctr"/>
          <a:endParaRPr lang="en-US"/>
        </a:p>
      </dgm:t>
    </dgm:pt>
    <dgm:pt modelId="{8EF23F13-549E-4AE7-85BD-4DD64B0D5CC3}" type="pres">
      <dgm:prSet presAssocID="{7B138F7A-69DC-43D9-B7AA-F932C8BADB46}" presName="cycle" presStyleCnt="0">
        <dgm:presLayoutVars>
          <dgm:chMax val="1"/>
          <dgm:dir/>
          <dgm:animLvl val="ctr"/>
          <dgm:resizeHandles val="exact"/>
        </dgm:presLayoutVars>
      </dgm:prSet>
      <dgm:spPr/>
      <dgm:t>
        <a:bodyPr/>
        <a:lstStyle/>
        <a:p>
          <a:endParaRPr lang="en-US"/>
        </a:p>
      </dgm:t>
    </dgm:pt>
    <dgm:pt modelId="{F5D10C81-5296-47D1-883A-4A2C1DA22BF6}" type="pres">
      <dgm:prSet presAssocID="{7CD1B55E-9D8F-4529-93AE-FC880051B682}" presName="centerShape" presStyleLbl="node0" presStyleIdx="0" presStyleCnt="1"/>
      <dgm:spPr/>
      <dgm:t>
        <a:bodyPr/>
        <a:lstStyle/>
        <a:p>
          <a:endParaRPr lang="en-US"/>
        </a:p>
      </dgm:t>
    </dgm:pt>
    <dgm:pt modelId="{AF6EB513-B772-40F2-82EB-649E54822FBB}" type="pres">
      <dgm:prSet presAssocID="{F76A56CD-EA92-48AB-B172-3D14B1E0259E}" presName="parTrans" presStyleLbl="bgSibTrans2D1" presStyleIdx="0" presStyleCnt="4"/>
      <dgm:spPr/>
      <dgm:t>
        <a:bodyPr/>
        <a:lstStyle/>
        <a:p>
          <a:endParaRPr lang="en-US"/>
        </a:p>
      </dgm:t>
    </dgm:pt>
    <dgm:pt modelId="{E15057B7-4547-40F5-B275-4871863A5542}" type="pres">
      <dgm:prSet presAssocID="{EF0FACEB-18EE-48F2-920F-D537A2ED110F}" presName="node" presStyleLbl="node1" presStyleIdx="0" presStyleCnt="4">
        <dgm:presLayoutVars>
          <dgm:bulletEnabled val="1"/>
        </dgm:presLayoutVars>
      </dgm:prSet>
      <dgm:spPr/>
      <dgm:t>
        <a:bodyPr/>
        <a:lstStyle/>
        <a:p>
          <a:endParaRPr lang="en-US"/>
        </a:p>
      </dgm:t>
    </dgm:pt>
    <dgm:pt modelId="{E19125AB-55AE-48DE-9525-EDFC0076FE8D}" type="pres">
      <dgm:prSet presAssocID="{18A6DA32-A1BE-4D88-82DA-6ADF7C4098A4}" presName="parTrans" presStyleLbl="bgSibTrans2D1" presStyleIdx="1" presStyleCnt="4"/>
      <dgm:spPr/>
      <dgm:t>
        <a:bodyPr/>
        <a:lstStyle/>
        <a:p>
          <a:endParaRPr lang="en-US"/>
        </a:p>
      </dgm:t>
    </dgm:pt>
    <dgm:pt modelId="{E2CAA90A-3D63-407E-A5F3-899A7BC3DA61}" type="pres">
      <dgm:prSet presAssocID="{343191ED-EE7D-4FD7-8AE2-9169CF3BEFBC}" presName="node" presStyleLbl="node1" presStyleIdx="1" presStyleCnt="4">
        <dgm:presLayoutVars>
          <dgm:bulletEnabled val="1"/>
        </dgm:presLayoutVars>
      </dgm:prSet>
      <dgm:spPr/>
      <dgm:t>
        <a:bodyPr/>
        <a:lstStyle/>
        <a:p>
          <a:endParaRPr lang="en-US"/>
        </a:p>
      </dgm:t>
    </dgm:pt>
    <dgm:pt modelId="{52A6653F-682C-4E9C-BF9C-F3D491FB13A6}" type="pres">
      <dgm:prSet presAssocID="{42EDB303-3793-4FD7-8E03-EE9735E39FBE}" presName="parTrans" presStyleLbl="bgSibTrans2D1" presStyleIdx="2" presStyleCnt="4"/>
      <dgm:spPr/>
      <dgm:t>
        <a:bodyPr/>
        <a:lstStyle/>
        <a:p>
          <a:endParaRPr lang="en-US"/>
        </a:p>
      </dgm:t>
    </dgm:pt>
    <dgm:pt modelId="{EC6FD3BA-FD3D-4EEC-85D6-31B1F64EA86F}" type="pres">
      <dgm:prSet presAssocID="{27B8237B-C8E4-4E36-A767-C8D58B53EBC6}" presName="node" presStyleLbl="node1" presStyleIdx="2" presStyleCnt="4">
        <dgm:presLayoutVars>
          <dgm:bulletEnabled val="1"/>
        </dgm:presLayoutVars>
      </dgm:prSet>
      <dgm:spPr/>
      <dgm:t>
        <a:bodyPr/>
        <a:lstStyle/>
        <a:p>
          <a:endParaRPr lang="en-US"/>
        </a:p>
      </dgm:t>
    </dgm:pt>
    <dgm:pt modelId="{8C646044-B267-4291-A5AE-114D7534278A}" type="pres">
      <dgm:prSet presAssocID="{A1909AB1-FDBF-4133-A873-0787B0F4CAF5}" presName="parTrans" presStyleLbl="bgSibTrans2D1" presStyleIdx="3" presStyleCnt="4"/>
      <dgm:spPr/>
      <dgm:t>
        <a:bodyPr/>
        <a:lstStyle/>
        <a:p>
          <a:endParaRPr lang="en-US"/>
        </a:p>
      </dgm:t>
    </dgm:pt>
    <dgm:pt modelId="{20E31B5A-02D7-4525-B245-054FD9A7796F}" type="pres">
      <dgm:prSet presAssocID="{20DF1E4E-2065-4869-93B2-F8C0F7C03834}" presName="node" presStyleLbl="node1" presStyleIdx="3" presStyleCnt="4">
        <dgm:presLayoutVars>
          <dgm:bulletEnabled val="1"/>
        </dgm:presLayoutVars>
      </dgm:prSet>
      <dgm:spPr/>
      <dgm:t>
        <a:bodyPr/>
        <a:lstStyle/>
        <a:p>
          <a:endParaRPr lang="en-US"/>
        </a:p>
      </dgm:t>
    </dgm:pt>
  </dgm:ptLst>
  <dgm:cxnLst>
    <dgm:cxn modelId="{4B3B8D15-CD20-431E-A206-8830098D3949}" type="presOf" srcId="{7CD1B55E-9D8F-4529-93AE-FC880051B682}" destId="{F5D10C81-5296-47D1-883A-4A2C1DA22BF6}" srcOrd="0" destOrd="0" presId="urn:microsoft.com/office/officeart/2005/8/layout/radial4"/>
    <dgm:cxn modelId="{98BA60FB-9CBE-4931-827B-3B01D2C4BC3E}" type="presOf" srcId="{7B138F7A-69DC-43D9-B7AA-F932C8BADB46}" destId="{8EF23F13-549E-4AE7-85BD-4DD64B0D5CC3}" srcOrd="0" destOrd="0" presId="urn:microsoft.com/office/officeart/2005/8/layout/radial4"/>
    <dgm:cxn modelId="{D951A9E6-6F91-4FA8-94FA-CC651AF28170}" srcId="{7CD1B55E-9D8F-4529-93AE-FC880051B682}" destId="{343191ED-EE7D-4FD7-8AE2-9169CF3BEFBC}" srcOrd="1" destOrd="0" parTransId="{18A6DA32-A1BE-4D88-82DA-6ADF7C4098A4}" sibTransId="{6689DB7C-C663-4736-833F-1F1E86880675}"/>
    <dgm:cxn modelId="{2026ECED-B2D4-4276-A4DC-82C323398E26}" srcId="{7CD1B55E-9D8F-4529-93AE-FC880051B682}" destId="{EF0FACEB-18EE-48F2-920F-D537A2ED110F}" srcOrd="0" destOrd="0" parTransId="{F76A56CD-EA92-48AB-B172-3D14B1E0259E}" sibTransId="{FA574B74-4107-494E-8A3B-5FC560B48332}"/>
    <dgm:cxn modelId="{35DCF187-3450-4230-84CC-BBCB111B22DD}" type="presOf" srcId="{343191ED-EE7D-4FD7-8AE2-9169CF3BEFBC}" destId="{E2CAA90A-3D63-407E-A5F3-899A7BC3DA61}" srcOrd="0" destOrd="0" presId="urn:microsoft.com/office/officeart/2005/8/layout/radial4"/>
    <dgm:cxn modelId="{F979CB09-9FE2-4561-A1D0-4EFBC0CBBD9E}" type="presOf" srcId="{20DF1E4E-2065-4869-93B2-F8C0F7C03834}" destId="{20E31B5A-02D7-4525-B245-054FD9A7796F}" srcOrd="0" destOrd="0" presId="urn:microsoft.com/office/officeart/2005/8/layout/radial4"/>
    <dgm:cxn modelId="{F25163FD-0E4A-421D-A9C7-40201B5F71A4}" srcId="{7B138F7A-69DC-43D9-B7AA-F932C8BADB46}" destId="{7CD1B55E-9D8F-4529-93AE-FC880051B682}" srcOrd="0" destOrd="0" parTransId="{AD1F4C81-E399-4701-855B-F5AC38B305B7}" sibTransId="{763BEBCF-E5B7-4ABC-93C0-756D6329CA9D}"/>
    <dgm:cxn modelId="{5036FC78-28E5-48C5-B0C9-00C671B60D2A}" type="presOf" srcId="{EF0FACEB-18EE-48F2-920F-D537A2ED110F}" destId="{E15057B7-4547-40F5-B275-4871863A5542}" srcOrd="0" destOrd="0" presId="urn:microsoft.com/office/officeart/2005/8/layout/radial4"/>
    <dgm:cxn modelId="{BDBDFA7B-49C7-4FB2-810B-F2478B3E6041}" srcId="{7CD1B55E-9D8F-4529-93AE-FC880051B682}" destId="{20DF1E4E-2065-4869-93B2-F8C0F7C03834}" srcOrd="3" destOrd="0" parTransId="{A1909AB1-FDBF-4133-A873-0787B0F4CAF5}" sibTransId="{038689F0-8940-4D19-8992-77161BDF76C9}"/>
    <dgm:cxn modelId="{37107076-A7BA-469E-AF24-19106F2E2352}" type="presOf" srcId="{27B8237B-C8E4-4E36-A767-C8D58B53EBC6}" destId="{EC6FD3BA-FD3D-4EEC-85D6-31B1F64EA86F}" srcOrd="0" destOrd="0" presId="urn:microsoft.com/office/officeart/2005/8/layout/radial4"/>
    <dgm:cxn modelId="{03D77F00-2858-4C98-A308-6A522A86F154}" type="presOf" srcId="{18A6DA32-A1BE-4D88-82DA-6ADF7C4098A4}" destId="{E19125AB-55AE-48DE-9525-EDFC0076FE8D}" srcOrd="0" destOrd="0" presId="urn:microsoft.com/office/officeart/2005/8/layout/radial4"/>
    <dgm:cxn modelId="{18AFF33F-EFDC-487C-A6DC-6D857459C6A2}" srcId="{7CD1B55E-9D8F-4529-93AE-FC880051B682}" destId="{27B8237B-C8E4-4E36-A767-C8D58B53EBC6}" srcOrd="2" destOrd="0" parTransId="{42EDB303-3793-4FD7-8E03-EE9735E39FBE}" sibTransId="{3F2F06C2-D41E-41E3-BDEE-8650B07305B5}"/>
    <dgm:cxn modelId="{4B17FE3A-CA3F-413E-86E5-FF060099C05B}" type="presOf" srcId="{A1909AB1-FDBF-4133-A873-0787B0F4CAF5}" destId="{8C646044-B267-4291-A5AE-114D7534278A}" srcOrd="0" destOrd="0" presId="urn:microsoft.com/office/officeart/2005/8/layout/radial4"/>
    <dgm:cxn modelId="{5E49CD9F-8220-40CD-B4D0-6ACC663BDCCB}" type="presOf" srcId="{F76A56CD-EA92-48AB-B172-3D14B1E0259E}" destId="{AF6EB513-B772-40F2-82EB-649E54822FBB}" srcOrd="0" destOrd="0" presId="urn:microsoft.com/office/officeart/2005/8/layout/radial4"/>
    <dgm:cxn modelId="{1AA0712C-78FE-4D2D-A045-EB5469475BFE}" type="presOf" srcId="{42EDB303-3793-4FD7-8E03-EE9735E39FBE}" destId="{52A6653F-682C-4E9C-BF9C-F3D491FB13A6}" srcOrd="0" destOrd="0" presId="urn:microsoft.com/office/officeart/2005/8/layout/radial4"/>
    <dgm:cxn modelId="{3D025C71-4F14-4F36-9DB8-F42CF80FE3F6}" type="presParOf" srcId="{8EF23F13-549E-4AE7-85BD-4DD64B0D5CC3}" destId="{F5D10C81-5296-47D1-883A-4A2C1DA22BF6}" srcOrd="0" destOrd="0" presId="urn:microsoft.com/office/officeart/2005/8/layout/radial4"/>
    <dgm:cxn modelId="{A0F28B36-0109-4AA6-83BE-36AA89298B7B}" type="presParOf" srcId="{8EF23F13-549E-4AE7-85BD-4DD64B0D5CC3}" destId="{AF6EB513-B772-40F2-82EB-649E54822FBB}" srcOrd="1" destOrd="0" presId="urn:microsoft.com/office/officeart/2005/8/layout/radial4"/>
    <dgm:cxn modelId="{DAD3E6C7-DC40-4BC8-B995-015174CDE1B9}" type="presParOf" srcId="{8EF23F13-549E-4AE7-85BD-4DD64B0D5CC3}" destId="{E15057B7-4547-40F5-B275-4871863A5542}" srcOrd="2" destOrd="0" presId="urn:microsoft.com/office/officeart/2005/8/layout/radial4"/>
    <dgm:cxn modelId="{C9C6AF58-ECEA-4750-A2F4-668019309FE6}" type="presParOf" srcId="{8EF23F13-549E-4AE7-85BD-4DD64B0D5CC3}" destId="{E19125AB-55AE-48DE-9525-EDFC0076FE8D}" srcOrd="3" destOrd="0" presId="urn:microsoft.com/office/officeart/2005/8/layout/radial4"/>
    <dgm:cxn modelId="{4C46B5FC-38A3-46CB-B17E-7899B80E4145}" type="presParOf" srcId="{8EF23F13-549E-4AE7-85BD-4DD64B0D5CC3}" destId="{E2CAA90A-3D63-407E-A5F3-899A7BC3DA61}" srcOrd="4" destOrd="0" presId="urn:microsoft.com/office/officeart/2005/8/layout/radial4"/>
    <dgm:cxn modelId="{95120D6C-D4FB-4DBE-BDBE-D810299D7533}" type="presParOf" srcId="{8EF23F13-549E-4AE7-85BD-4DD64B0D5CC3}" destId="{52A6653F-682C-4E9C-BF9C-F3D491FB13A6}" srcOrd="5" destOrd="0" presId="urn:microsoft.com/office/officeart/2005/8/layout/radial4"/>
    <dgm:cxn modelId="{DD885655-B12A-46F2-9A6E-9A9D0C1D951C}" type="presParOf" srcId="{8EF23F13-549E-4AE7-85BD-4DD64B0D5CC3}" destId="{EC6FD3BA-FD3D-4EEC-85D6-31B1F64EA86F}" srcOrd="6" destOrd="0" presId="urn:microsoft.com/office/officeart/2005/8/layout/radial4"/>
    <dgm:cxn modelId="{69867B3C-8A62-46AC-876D-3FF13C6E205C}" type="presParOf" srcId="{8EF23F13-549E-4AE7-85BD-4DD64B0D5CC3}" destId="{8C646044-B267-4291-A5AE-114D7534278A}" srcOrd="7" destOrd="0" presId="urn:microsoft.com/office/officeart/2005/8/layout/radial4"/>
    <dgm:cxn modelId="{BF81EDC5-67C7-4960-9C54-94930432AA09}" type="presParOf" srcId="{8EF23F13-549E-4AE7-85BD-4DD64B0D5CC3}" destId="{20E31B5A-02D7-4525-B245-054FD9A7796F}" srcOrd="8"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10C81-5296-47D1-883A-4A2C1DA22BF6}">
      <dsp:nvSpPr>
        <dsp:cNvPr id="0" name=""/>
        <dsp:cNvSpPr/>
      </dsp:nvSpPr>
      <dsp:spPr>
        <a:xfrm>
          <a:off x="2176129" y="1187448"/>
          <a:ext cx="1134141" cy="1134141"/>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Risk Factors Associated with UGIB in Hospitalized Patients</a:t>
          </a:r>
        </a:p>
      </dsp:txBody>
      <dsp:txXfrm>
        <a:off x="2342220" y="1353539"/>
        <a:ext cx="801959" cy="801959"/>
      </dsp:txXfrm>
    </dsp:sp>
    <dsp:sp modelId="{AF6EB513-B772-40F2-82EB-649E54822FBB}">
      <dsp:nvSpPr>
        <dsp:cNvPr id="0" name=""/>
        <dsp:cNvSpPr/>
      </dsp:nvSpPr>
      <dsp:spPr>
        <a:xfrm rot="11700000">
          <a:off x="1318415" y="1324204"/>
          <a:ext cx="843968" cy="323230"/>
        </a:xfrm>
        <a:prstGeom prst="lef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15057B7-4547-40F5-B275-4871863A5542}">
      <dsp:nvSpPr>
        <dsp:cNvPr id="0" name=""/>
        <dsp:cNvSpPr/>
      </dsp:nvSpPr>
      <dsp:spPr>
        <a:xfrm>
          <a:off x="794076" y="945627"/>
          <a:ext cx="1077434" cy="861947"/>
        </a:xfrm>
        <a:prstGeom prst="roundRect">
          <a:avLst>
            <a:gd name="adj" fmla="val 1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b="1" i="0" kern="1200"/>
            <a:t>DRUG</a:t>
          </a:r>
        </a:p>
        <a:p>
          <a:pPr lvl="0" algn="ctr" defTabSz="311150">
            <a:lnSpc>
              <a:spcPct val="90000"/>
            </a:lnSpc>
            <a:spcBef>
              <a:spcPct val="0"/>
            </a:spcBef>
            <a:spcAft>
              <a:spcPct val="35000"/>
            </a:spcAft>
          </a:pPr>
          <a:r>
            <a:rPr lang="en-US" sz="700" kern="1200"/>
            <a:t>Anticoagulants</a:t>
          </a:r>
        </a:p>
        <a:p>
          <a:pPr lvl="0" algn="ctr" defTabSz="311150">
            <a:lnSpc>
              <a:spcPct val="90000"/>
            </a:lnSpc>
            <a:spcBef>
              <a:spcPct val="0"/>
            </a:spcBef>
            <a:spcAft>
              <a:spcPct val="35000"/>
            </a:spcAft>
          </a:pPr>
          <a:r>
            <a:rPr lang="en-US" sz="700" kern="1200"/>
            <a:t>Antiplatelet agents</a:t>
          </a:r>
        </a:p>
        <a:p>
          <a:pPr lvl="0" algn="ctr" defTabSz="311150">
            <a:lnSpc>
              <a:spcPct val="90000"/>
            </a:lnSpc>
            <a:spcBef>
              <a:spcPct val="0"/>
            </a:spcBef>
            <a:spcAft>
              <a:spcPct val="35000"/>
            </a:spcAft>
          </a:pPr>
          <a:r>
            <a:rPr lang="en-US" sz="700" kern="1200"/>
            <a:t>NSAIDs</a:t>
          </a:r>
        </a:p>
      </dsp:txBody>
      <dsp:txXfrm>
        <a:off x="819322" y="970873"/>
        <a:ext cx="1026942" cy="811455"/>
      </dsp:txXfrm>
    </dsp:sp>
    <dsp:sp modelId="{E19125AB-55AE-48DE-9525-EDFC0076FE8D}">
      <dsp:nvSpPr>
        <dsp:cNvPr id="0" name=""/>
        <dsp:cNvSpPr/>
      </dsp:nvSpPr>
      <dsp:spPr>
        <a:xfrm rot="14700000">
          <a:off x="1882463" y="651997"/>
          <a:ext cx="843968" cy="323230"/>
        </a:xfrm>
        <a:prstGeom prst="leftArrow">
          <a:avLst>
            <a:gd name="adj1" fmla="val 600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2CAA90A-3D63-407E-A5F3-899A7BC3DA61}">
      <dsp:nvSpPr>
        <dsp:cNvPr id="0" name=""/>
        <dsp:cNvSpPr/>
      </dsp:nvSpPr>
      <dsp:spPr>
        <a:xfrm>
          <a:off x="1587392" y="191"/>
          <a:ext cx="1077434" cy="861947"/>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b="1" kern="1200"/>
            <a:t>ACUTE ILLNESS</a:t>
          </a:r>
        </a:p>
        <a:p>
          <a:pPr lvl="0" algn="ctr" defTabSz="311150">
            <a:lnSpc>
              <a:spcPct val="90000"/>
            </a:lnSpc>
            <a:spcBef>
              <a:spcPct val="0"/>
            </a:spcBef>
            <a:spcAft>
              <a:spcPct val="35000"/>
            </a:spcAft>
          </a:pPr>
          <a:r>
            <a:rPr lang="en-US" sz="700" b="0" kern="1200"/>
            <a:t>Shock</a:t>
          </a:r>
        </a:p>
        <a:p>
          <a:pPr lvl="0" algn="ctr" defTabSz="311150">
            <a:lnSpc>
              <a:spcPct val="90000"/>
            </a:lnSpc>
            <a:spcBef>
              <a:spcPct val="0"/>
            </a:spcBef>
            <a:spcAft>
              <a:spcPct val="35000"/>
            </a:spcAft>
          </a:pPr>
          <a:r>
            <a:rPr lang="en-US" sz="700" b="0" kern="1200"/>
            <a:t>Respiratory Failure</a:t>
          </a:r>
        </a:p>
        <a:p>
          <a:pPr lvl="0" algn="ctr" defTabSz="311150">
            <a:lnSpc>
              <a:spcPct val="90000"/>
            </a:lnSpc>
            <a:spcBef>
              <a:spcPct val="0"/>
            </a:spcBef>
            <a:spcAft>
              <a:spcPct val="35000"/>
            </a:spcAft>
          </a:pPr>
          <a:r>
            <a:rPr lang="en-US" sz="700" b="0" kern="1200"/>
            <a:t>Head Trauma</a:t>
          </a:r>
        </a:p>
        <a:p>
          <a:pPr lvl="0" algn="ctr" defTabSz="311150">
            <a:lnSpc>
              <a:spcPct val="90000"/>
            </a:lnSpc>
            <a:spcBef>
              <a:spcPct val="0"/>
            </a:spcBef>
            <a:spcAft>
              <a:spcPct val="35000"/>
            </a:spcAft>
          </a:pPr>
          <a:r>
            <a:rPr lang="en-US" sz="700" b="0" kern="1200"/>
            <a:t>Thermal Injury</a:t>
          </a:r>
        </a:p>
      </dsp:txBody>
      <dsp:txXfrm>
        <a:off x="1612638" y="25437"/>
        <a:ext cx="1026942" cy="811455"/>
      </dsp:txXfrm>
    </dsp:sp>
    <dsp:sp modelId="{52A6653F-682C-4E9C-BF9C-F3D491FB13A6}">
      <dsp:nvSpPr>
        <dsp:cNvPr id="0" name=""/>
        <dsp:cNvSpPr/>
      </dsp:nvSpPr>
      <dsp:spPr>
        <a:xfrm rot="17700000">
          <a:off x="2759967" y="651997"/>
          <a:ext cx="843968" cy="323230"/>
        </a:xfrm>
        <a:prstGeom prst="lef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C6FD3BA-FD3D-4EEC-85D6-31B1F64EA86F}">
      <dsp:nvSpPr>
        <dsp:cNvPr id="0" name=""/>
        <dsp:cNvSpPr/>
      </dsp:nvSpPr>
      <dsp:spPr>
        <a:xfrm>
          <a:off x="2821572" y="191"/>
          <a:ext cx="1077434" cy="861947"/>
        </a:xfrm>
        <a:prstGeom prst="roundRect">
          <a:avLst>
            <a:gd name="adj" fmla="val 1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b="1" kern="1200"/>
            <a:t>CHRONIC CONDITION</a:t>
          </a:r>
        </a:p>
        <a:p>
          <a:pPr lvl="0" algn="ctr" defTabSz="311150">
            <a:lnSpc>
              <a:spcPct val="90000"/>
            </a:lnSpc>
            <a:spcBef>
              <a:spcPct val="0"/>
            </a:spcBef>
            <a:spcAft>
              <a:spcPct val="35000"/>
            </a:spcAft>
          </a:pPr>
          <a:r>
            <a:rPr lang="en-US" sz="700" b="0" kern="1200"/>
            <a:t>Renal dysfunction</a:t>
          </a:r>
        </a:p>
        <a:p>
          <a:pPr lvl="0" algn="ctr" defTabSz="311150">
            <a:lnSpc>
              <a:spcPct val="90000"/>
            </a:lnSpc>
            <a:spcBef>
              <a:spcPct val="0"/>
            </a:spcBef>
            <a:spcAft>
              <a:spcPct val="35000"/>
            </a:spcAft>
          </a:pPr>
          <a:r>
            <a:rPr lang="en-US" sz="700" b="0" kern="1200"/>
            <a:t>Liver disease</a:t>
          </a:r>
        </a:p>
        <a:p>
          <a:pPr lvl="0" algn="ctr" defTabSz="311150">
            <a:lnSpc>
              <a:spcPct val="90000"/>
            </a:lnSpc>
            <a:spcBef>
              <a:spcPct val="0"/>
            </a:spcBef>
            <a:spcAft>
              <a:spcPct val="35000"/>
            </a:spcAft>
          </a:pPr>
          <a:r>
            <a:rPr lang="en-US" sz="700" b="0" kern="1200"/>
            <a:t>Coagulopathy</a:t>
          </a:r>
        </a:p>
        <a:p>
          <a:pPr lvl="0" algn="ctr" defTabSz="311150">
            <a:lnSpc>
              <a:spcPct val="90000"/>
            </a:lnSpc>
            <a:spcBef>
              <a:spcPct val="0"/>
            </a:spcBef>
            <a:spcAft>
              <a:spcPct val="35000"/>
            </a:spcAft>
          </a:pPr>
          <a:r>
            <a:rPr lang="en-US" sz="700" b="0" i="1" kern="1200"/>
            <a:t>Helicobacter pylori</a:t>
          </a:r>
        </a:p>
      </dsp:txBody>
      <dsp:txXfrm>
        <a:off x="2846818" y="25437"/>
        <a:ext cx="1026942" cy="811455"/>
      </dsp:txXfrm>
    </dsp:sp>
    <dsp:sp modelId="{8C646044-B267-4291-A5AE-114D7534278A}">
      <dsp:nvSpPr>
        <dsp:cNvPr id="0" name=""/>
        <dsp:cNvSpPr/>
      </dsp:nvSpPr>
      <dsp:spPr>
        <a:xfrm rot="20700000">
          <a:off x="3324015" y="1324204"/>
          <a:ext cx="843968" cy="323230"/>
        </a:xfrm>
        <a:prstGeom prst="lef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20E31B5A-02D7-4525-B245-054FD9A7796F}">
      <dsp:nvSpPr>
        <dsp:cNvPr id="0" name=""/>
        <dsp:cNvSpPr/>
      </dsp:nvSpPr>
      <dsp:spPr>
        <a:xfrm>
          <a:off x="3614888" y="945627"/>
          <a:ext cx="1077434" cy="861947"/>
        </a:xfrm>
        <a:prstGeom prst="roundRect">
          <a:avLst>
            <a:gd name="adj" fmla="val 1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b="1" kern="1200"/>
            <a:t>DEVICE</a:t>
          </a:r>
        </a:p>
        <a:p>
          <a:pPr lvl="0" algn="ctr" defTabSz="311150">
            <a:lnSpc>
              <a:spcPct val="90000"/>
            </a:lnSpc>
            <a:spcBef>
              <a:spcPct val="0"/>
            </a:spcBef>
            <a:spcAft>
              <a:spcPct val="35000"/>
            </a:spcAft>
          </a:pPr>
          <a:r>
            <a:rPr lang="en-US" sz="700" kern="1200"/>
            <a:t>Mechanical ventilation</a:t>
          </a:r>
        </a:p>
        <a:p>
          <a:pPr lvl="0" algn="ctr" defTabSz="311150">
            <a:lnSpc>
              <a:spcPct val="90000"/>
            </a:lnSpc>
            <a:spcBef>
              <a:spcPct val="0"/>
            </a:spcBef>
            <a:spcAft>
              <a:spcPct val="35000"/>
            </a:spcAft>
          </a:pPr>
          <a:r>
            <a:rPr lang="en-US" sz="700" kern="1200"/>
            <a:t>Renal replacement therapy</a:t>
          </a:r>
        </a:p>
        <a:p>
          <a:pPr lvl="0" algn="ctr" defTabSz="311150">
            <a:lnSpc>
              <a:spcPct val="90000"/>
            </a:lnSpc>
            <a:spcBef>
              <a:spcPct val="0"/>
            </a:spcBef>
            <a:spcAft>
              <a:spcPct val="35000"/>
            </a:spcAft>
          </a:pPr>
          <a:r>
            <a:rPr lang="en-US" sz="700" kern="1200"/>
            <a:t>Extracorporeal life support</a:t>
          </a:r>
        </a:p>
      </dsp:txBody>
      <dsp:txXfrm>
        <a:off x="3640134" y="970873"/>
        <a:ext cx="1026942" cy="8114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992A77-8AE9-4B3D-BAF1-45C311C6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Philip</dc:creator>
  <cp:keywords/>
  <dc:description/>
  <cp:lastModifiedBy>Watkins, Andrew B</cp:lastModifiedBy>
  <cp:revision>3</cp:revision>
  <dcterms:created xsi:type="dcterms:W3CDTF">2020-08-21T15:48:00Z</dcterms:created>
  <dcterms:modified xsi:type="dcterms:W3CDTF">2020-08-25T20:11:00Z</dcterms:modified>
</cp:coreProperties>
</file>